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4DF" w:rsidRDefault="00E66ADB">
      <w:pPr>
        <w:rPr>
          <w:lang w:val="es-ES"/>
        </w:rPr>
      </w:pPr>
      <w:r>
        <w:rPr>
          <w:lang w:val="es-ES"/>
        </w:rPr>
        <w:t>UNIVERSIDAD TECNOLÓGICA DE PEREIRA</w:t>
      </w:r>
    </w:p>
    <w:p w:rsidR="00E66ADB" w:rsidRDefault="00E66ADB">
      <w:pPr>
        <w:rPr>
          <w:lang w:val="es-ES"/>
        </w:rPr>
      </w:pPr>
      <w:r>
        <w:rPr>
          <w:lang w:val="es-ES"/>
        </w:rPr>
        <w:t>FACULTAD CIENCIAS DE LA SALUD</w:t>
      </w:r>
    </w:p>
    <w:p w:rsidR="00E66ADB" w:rsidRDefault="00E66ADB">
      <w:pPr>
        <w:rPr>
          <w:lang w:val="es-ES"/>
        </w:rPr>
      </w:pPr>
      <w:r>
        <w:rPr>
          <w:lang w:val="es-ES"/>
        </w:rPr>
        <w:t>PROGRAMA CIENCIAS DEL DEPORTE Y LA RECREACIÓN</w:t>
      </w:r>
    </w:p>
    <w:p w:rsidR="00E66ADB" w:rsidRDefault="00E66ADB">
      <w:pPr>
        <w:rPr>
          <w:lang w:val="es-ES"/>
        </w:rPr>
      </w:pPr>
      <w:r>
        <w:rPr>
          <w:lang w:val="es-ES"/>
        </w:rPr>
        <w:t>SEMINARIOS DE INVESTIGACIÓN</w:t>
      </w:r>
    </w:p>
    <w:p w:rsidR="00260B4F" w:rsidRDefault="00260B4F">
      <w:pPr>
        <w:rPr>
          <w:lang w:val="es-ES"/>
        </w:rPr>
      </w:pPr>
    </w:p>
    <w:tbl>
      <w:tblPr>
        <w:tblW w:w="0" w:type="auto"/>
        <w:tblBorders>
          <w:top w:val="dashDotStroked" w:sz="24" w:space="0" w:color="auto"/>
          <w:left w:val="dashDotStroked" w:sz="24" w:space="0" w:color="auto"/>
          <w:bottom w:val="dashDotStroked" w:sz="24" w:space="0" w:color="auto"/>
          <w:right w:val="dashDotStroked" w:sz="24" w:space="0" w:color="auto"/>
        </w:tblBorders>
        <w:tblLook w:val="04A0"/>
      </w:tblPr>
      <w:tblGrid>
        <w:gridCol w:w="11246"/>
      </w:tblGrid>
      <w:tr w:rsidR="00D86666" w:rsidRPr="00C8188C" w:rsidTr="00C8188C">
        <w:tc>
          <w:tcPr>
            <w:tcW w:w="11246" w:type="dxa"/>
          </w:tcPr>
          <w:p w:rsidR="00D86666" w:rsidRPr="00C8188C" w:rsidRDefault="00C4347B" w:rsidP="00C4347B">
            <w:pPr>
              <w:jc w:val="center"/>
              <w:rPr>
                <w:b/>
                <w:shadow/>
                <w:sz w:val="36"/>
                <w:szCs w:val="36"/>
                <w:lang w:val="es-ES"/>
              </w:rPr>
            </w:pPr>
            <w:r>
              <w:rPr>
                <w:b/>
                <w:shadow/>
                <w:sz w:val="36"/>
                <w:szCs w:val="36"/>
                <w:lang w:val="es-ES"/>
              </w:rPr>
              <w:t>5</w:t>
            </w:r>
            <w:r w:rsidR="00B404A5">
              <w:rPr>
                <w:b/>
                <w:shadow/>
                <w:sz w:val="36"/>
                <w:szCs w:val="36"/>
                <w:lang w:val="es-ES"/>
              </w:rPr>
              <w:t xml:space="preserve">. </w:t>
            </w:r>
            <w:r>
              <w:rPr>
                <w:b/>
                <w:shadow/>
                <w:sz w:val="36"/>
                <w:szCs w:val="36"/>
                <w:lang w:val="es-ES"/>
              </w:rPr>
              <w:t xml:space="preserve">ANÁLISIS DE </w:t>
            </w:r>
            <w:r w:rsidR="00CF5B46">
              <w:rPr>
                <w:b/>
                <w:shadow/>
                <w:sz w:val="36"/>
                <w:szCs w:val="36"/>
                <w:lang w:val="es-ES"/>
              </w:rPr>
              <w:t>COR</w:t>
            </w:r>
            <w:r>
              <w:rPr>
                <w:b/>
                <w:shadow/>
                <w:sz w:val="36"/>
                <w:szCs w:val="36"/>
                <w:lang w:val="es-ES"/>
              </w:rPr>
              <w:t>RELACIONES</w:t>
            </w:r>
          </w:p>
        </w:tc>
      </w:tr>
    </w:tbl>
    <w:p w:rsidR="00D86666" w:rsidRPr="000D6E5C" w:rsidRDefault="00EF084D" w:rsidP="000D6E5C">
      <w:pPr>
        <w:jc w:val="center"/>
        <w:rPr>
          <w:sz w:val="20"/>
          <w:szCs w:val="20"/>
          <w:lang w:val="es-ES"/>
        </w:rPr>
      </w:pPr>
      <w:r>
        <w:rPr>
          <w:sz w:val="20"/>
          <w:szCs w:val="20"/>
          <w:lang w:val="es-ES"/>
        </w:rPr>
        <w:t>Con base en</w:t>
      </w:r>
      <w:r w:rsidR="000D6E5C" w:rsidRPr="000D6E5C">
        <w:rPr>
          <w:sz w:val="20"/>
          <w:szCs w:val="20"/>
          <w:lang w:val="es-ES"/>
        </w:rPr>
        <w:t xml:space="preserve">: </w:t>
      </w:r>
      <w:proofErr w:type="spellStart"/>
      <w:r w:rsidR="000D6E5C" w:rsidRPr="000D6E5C">
        <w:rPr>
          <w:sz w:val="20"/>
          <w:szCs w:val="20"/>
          <w:lang w:val="es-ES"/>
        </w:rPr>
        <w:t>ROWNTREE</w:t>
      </w:r>
      <w:proofErr w:type="spellEnd"/>
      <w:r w:rsidR="000D6E5C" w:rsidRPr="000D6E5C">
        <w:rPr>
          <w:sz w:val="20"/>
          <w:szCs w:val="20"/>
          <w:lang w:val="es-ES"/>
        </w:rPr>
        <w:t>, Derek. Introducción a la estadística: un enfoque no matemático. Bogotá:  Norma, 1984.</w:t>
      </w:r>
    </w:p>
    <w:p w:rsidR="00D86666" w:rsidRDefault="00D86666">
      <w:pPr>
        <w:rPr>
          <w:lang w:val="es-ES"/>
        </w:rPr>
      </w:pPr>
    </w:p>
    <w:p w:rsidR="00D86666" w:rsidRPr="00507B96" w:rsidRDefault="00C4347B" w:rsidP="00507B96">
      <w:pPr>
        <w:rPr>
          <w:b/>
          <w:shadow/>
          <w:sz w:val="28"/>
          <w:szCs w:val="28"/>
          <w:lang w:val="es-ES"/>
        </w:rPr>
      </w:pPr>
      <w:r>
        <w:rPr>
          <w:b/>
          <w:shadow/>
          <w:sz w:val="28"/>
          <w:szCs w:val="28"/>
          <w:lang w:val="es-ES"/>
        </w:rPr>
        <w:t>CORRELACIÓN</w:t>
      </w:r>
    </w:p>
    <w:p w:rsidR="00D86666" w:rsidRDefault="00D86666">
      <w:pPr>
        <w:rPr>
          <w:lang w:val="es-ES"/>
        </w:rPr>
      </w:pPr>
    </w:p>
    <w:p w:rsidR="00C4347B" w:rsidRDefault="008C750D">
      <w:pPr>
        <w:rPr>
          <w:lang w:val="es-ES"/>
        </w:rPr>
      </w:pPr>
      <w:r>
        <w:rPr>
          <w:lang w:val="es-ES"/>
        </w:rPr>
        <w:t xml:space="preserve">Es </w:t>
      </w:r>
      <w:r w:rsidR="00EA5C21">
        <w:rPr>
          <w:lang w:val="es-ES"/>
        </w:rPr>
        <w:t xml:space="preserve">el estudio de </w:t>
      </w:r>
      <w:r w:rsidR="00856B26">
        <w:rPr>
          <w:lang w:val="es-ES"/>
        </w:rPr>
        <w:t xml:space="preserve">la </w:t>
      </w:r>
      <w:r w:rsidR="00EA5C21">
        <w:rPr>
          <w:lang w:val="es-ES"/>
        </w:rPr>
        <w:t>asociación</w:t>
      </w:r>
      <w:r w:rsidR="00856B26">
        <w:rPr>
          <w:lang w:val="es-ES"/>
        </w:rPr>
        <w:t xml:space="preserve"> no causal </w:t>
      </w:r>
      <w:r w:rsidR="00C4347B">
        <w:rPr>
          <w:lang w:val="es-ES"/>
        </w:rPr>
        <w:t>entre dos (o más) variables</w:t>
      </w:r>
      <w:r>
        <w:rPr>
          <w:lang w:val="es-ES"/>
        </w:rPr>
        <w:t>,</w:t>
      </w:r>
      <w:r w:rsidR="005A488D">
        <w:rPr>
          <w:lang w:val="es-ES"/>
        </w:rPr>
        <w:t xml:space="preserve"> </w:t>
      </w:r>
      <w:r w:rsidR="00856B26">
        <w:rPr>
          <w:lang w:val="es-ES"/>
        </w:rPr>
        <w:t>es</w:t>
      </w:r>
      <w:r w:rsidR="00D86739">
        <w:rPr>
          <w:lang w:val="es-ES"/>
        </w:rPr>
        <w:t xml:space="preserve"> decir</w:t>
      </w:r>
      <w:r w:rsidR="00856B26">
        <w:rPr>
          <w:lang w:val="es-ES"/>
        </w:rPr>
        <w:t xml:space="preserve">, </w:t>
      </w:r>
      <w:r w:rsidR="005A488D">
        <w:rPr>
          <w:lang w:val="es-ES"/>
        </w:rPr>
        <w:t xml:space="preserve">si </w:t>
      </w:r>
      <w:r w:rsidR="00A9366E">
        <w:rPr>
          <w:lang w:val="es-ES"/>
        </w:rPr>
        <w:t>los cambios en una variable corresponden a cambios en la otra</w:t>
      </w:r>
      <w:r>
        <w:rPr>
          <w:lang w:val="es-ES"/>
        </w:rPr>
        <w:t>. Éstos pueden ser</w:t>
      </w:r>
      <w:r w:rsidR="00A9366E">
        <w:rPr>
          <w:lang w:val="es-ES"/>
        </w:rPr>
        <w:t xml:space="preserve"> en la misma dirección (cuando </w:t>
      </w:r>
      <w:r w:rsidR="002830D5">
        <w:rPr>
          <w:lang w:val="es-ES"/>
        </w:rPr>
        <w:t xml:space="preserve">una </w:t>
      </w:r>
      <w:r w:rsidR="00A9366E">
        <w:rPr>
          <w:lang w:val="es-ES"/>
        </w:rPr>
        <w:t xml:space="preserve">aumenta, </w:t>
      </w:r>
      <w:r w:rsidR="002830D5">
        <w:rPr>
          <w:lang w:val="es-ES"/>
        </w:rPr>
        <w:t xml:space="preserve">la otra </w:t>
      </w:r>
      <w:r w:rsidR="00A9366E">
        <w:rPr>
          <w:lang w:val="es-ES"/>
        </w:rPr>
        <w:t xml:space="preserve">aumenta: </w:t>
      </w:r>
      <w:r w:rsidR="00A9366E" w:rsidRPr="004525E5">
        <w:rPr>
          <w:b/>
          <w:lang w:val="es-ES"/>
        </w:rPr>
        <w:t>correlación positiva</w:t>
      </w:r>
      <w:r w:rsidR="00A9366E">
        <w:rPr>
          <w:lang w:val="es-ES"/>
        </w:rPr>
        <w:t>)</w:t>
      </w:r>
      <w:r w:rsidR="002830D5">
        <w:rPr>
          <w:lang w:val="es-ES"/>
        </w:rPr>
        <w:t xml:space="preserve"> o</w:t>
      </w:r>
      <w:r w:rsidR="00A9366E">
        <w:rPr>
          <w:lang w:val="es-ES"/>
        </w:rPr>
        <w:t xml:space="preserve"> en dirección contraria (cuando </w:t>
      </w:r>
      <w:r w:rsidR="002830D5">
        <w:rPr>
          <w:lang w:val="es-ES"/>
        </w:rPr>
        <w:t xml:space="preserve">una </w:t>
      </w:r>
      <w:r w:rsidR="00A9366E">
        <w:rPr>
          <w:lang w:val="es-ES"/>
        </w:rPr>
        <w:t xml:space="preserve">aumenta, </w:t>
      </w:r>
      <w:r w:rsidR="002830D5">
        <w:rPr>
          <w:lang w:val="es-ES"/>
        </w:rPr>
        <w:t xml:space="preserve">la otra </w:t>
      </w:r>
      <w:r w:rsidR="00A9366E">
        <w:rPr>
          <w:lang w:val="es-ES"/>
        </w:rPr>
        <w:t xml:space="preserve">disminuye: </w:t>
      </w:r>
      <w:r w:rsidR="00A9366E" w:rsidRPr="004525E5">
        <w:rPr>
          <w:b/>
          <w:lang w:val="es-ES"/>
        </w:rPr>
        <w:t>correlación negativa</w:t>
      </w:r>
      <w:r w:rsidR="00A9366E">
        <w:rPr>
          <w:lang w:val="es-ES"/>
        </w:rPr>
        <w:t>)</w:t>
      </w:r>
      <w:r>
        <w:rPr>
          <w:lang w:val="es-ES"/>
        </w:rPr>
        <w:t>;</w:t>
      </w:r>
      <w:r w:rsidR="002830D5">
        <w:rPr>
          <w:lang w:val="es-ES"/>
        </w:rPr>
        <w:t xml:space="preserve"> o </w:t>
      </w:r>
      <w:r w:rsidR="00D86739">
        <w:rPr>
          <w:lang w:val="es-ES"/>
        </w:rPr>
        <w:t xml:space="preserve">pueden </w:t>
      </w:r>
      <w:r w:rsidR="002830D5">
        <w:rPr>
          <w:lang w:val="es-ES"/>
        </w:rPr>
        <w:t>no relaciona</w:t>
      </w:r>
      <w:r w:rsidR="00D86739">
        <w:rPr>
          <w:lang w:val="es-ES"/>
        </w:rPr>
        <w:t>rse</w:t>
      </w:r>
      <w:r w:rsidR="00E32241">
        <w:rPr>
          <w:lang w:val="es-ES"/>
        </w:rPr>
        <w:t xml:space="preserve"> (cuando </w:t>
      </w:r>
      <w:r w:rsidR="002830D5">
        <w:rPr>
          <w:lang w:val="es-ES"/>
        </w:rPr>
        <w:t>una aumenta</w:t>
      </w:r>
      <w:r w:rsidR="00E32241">
        <w:rPr>
          <w:lang w:val="es-ES"/>
        </w:rPr>
        <w:t xml:space="preserve">, la otra a veces aumenta, a veces disminuye y a veces sigue igual: </w:t>
      </w:r>
      <w:r w:rsidR="00E32241" w:rsidRPr="004525E5">
        <w:rPr>
          <w:b/>
          <w:lang w:val="es-ES"/>
        </w:rPr>
        <w:t xml:space="preserve">correlación </w:t>
      </w:r>
      <w:r w:rsidR="002830D5" w:rsidRPr="004525E5">
        <w:rPr>
          <w:b/>
          <w:lang w:val="es-ES"/>
        </w:rPr>
        <w:t>nula</w:t>
      </w:r>
      <w:r w:rsidR="00E32241">
        <w:rPr>
          <w:lang w:val="es-ES"/>
        </w:rPr>
        <w:t>)</w:t>
      </w:r>
      <w:r w:rsidR="00A9366E">
        <w:rPr>
          <w:lang w:val="es-ES"/>
        </w:rPr>
        <w:t>.</w:t>
      </w:r>
      <w:r w:rsidR="005A488D">
        <w:rPr>
          <w:lang w:val="es-ES"/>
        </w:rPr>
        <w:t xml:space="preserve"> </w:t>
      </w:r>
      <w:r w:rsidR="00D86739">
        <w:rPr>
          <w:lang w:val="es-ES"/>
        </w:rPr>
        <w:t xml:space="preserve">Se </w:t>
      </w:r>
      <w:r w:rsidR="0061365C">
        <w:rPr>
          <w:lang w:val="es-ES"/>
        </w:rPr>
        <w:t>grafica en</w:t>
      </w:r>
      <w:r w:rsidR="005A488D">
        <w:rPr>
          <w:lang w:val="es-ES"/>
        </w:rPr>
        <w:t xml:space="preserve"> diagrama</w:t>
      </w:r>
      <w:r w:rsidR="00D86739">
        <w:rPr>
          <w:lang w:val="es-ES"/>
        </w:rPr>
        <w:t>s</w:t>
      </w:r>
      <w:r w:rsidR="005A488D">
        <w:rPr>
          <w:lang w:val="es-ES"/>
        </w:rPr>
        <w:t xml:space="preserve"> de dispersión, como los siguientes.</w:t>
      </w:r>
    </w:p>
    <w:p w:rsidR="005A488D" w:rsidRDefault="005A488D">
      <w:pPr>
        <w:rPr>
          <w:lang w:val="es-E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48"/>
        <w:gridCol w:w="3749"/>
      </w:tblGrid>
      <w:tr w:rsidR="004525E5" w:rsidRPr="00A52252" w:rsidTr="004525E5">
        <w:trPr>
          <w:jc w:val="center"/>
        </w:trPr>
        <w:tc>
          <w:tcPr>
            <w:tcW w:w="3748" w:type="dxa"/>
          </w:tcPr>
          <w:p w:rsidR="004525E5" w:rsidRPr="00A52252" w:rsidRDefault="004525E5" w:rsidP="00A52252">
            <w:pPr>
              <w:jc w:val="center"/>
              <w:rPr>
                <w:lang w:val="es-ES"/>
              </w:rPr>
            </w:pPr>
            <w:r>
              <w:rPr>
                <w:noProof/>
                <w:lang w:eastAsia="es-CO"/>
              </w:rPr>
              <w:drawing>
                <wp:inline distT="0" distB="0" distL="0" distR="0">
                  <wp:extent cx="1802765" cy="1802765"/>
                  <wp:effectExtent l="19050" t="0" r="6985" b="0"/>
                  <wp:docPr id="12" name="Imagen 1" descr="CorrelaciónNegati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relaciónNegativa"/>
                          <pic:cNvPicPr>
                            <a:picLocks noChangeAspect="1" noChangeArrowheads="1"/>
                          </pic:cNvPicPr>
                        </pic:nvPicPr>
                        <pic:blipFill>
                          <a:blip r:embed="rId8" cstate="print"/>
                          <a:srcRect/>
                          <a:stretch>
                            <a:fillRect/>
                          </a:stretch>
                        </pic:blipFill>
                        <pic:spPr bwMode="auto">
                          <a:xfrm>
                            <a:off x="0" y="0"/>
                            <a:ext cx="1802765" cy="1802765"/>
                          </a:xfrm>
                          <a:prstGeom prst="rect">
                            <a:avLst/>
                          </a:prstGeom>
                          <a:noFill/>
                          <a:ln w="9525">
                            <a:noFill/>
                            <a:miter lim="800000"/>
                            <a:headEnd/>
                            <a:tailEnd/>
                          </a:ln>
                        </pic:spPr>
                      </pic:pic>
                    </a:graphicData>
                  </a:graphic>
                </wp:inline>
              </w:drawing>
            </w:r>
          </w:p>
        </w:tc>
        <w:tc>
          <w:tcPr>
            <w:tcW w:w="3749" w:type="dxa"/>
          </w:tcPr>
          <w:p w:rsidR="004525E5" w:rsidRPr="00A52252" w:rsidRDefault="004525E5" w:rsidP="00A52252">
            <w:pPr>
              <w:jc w:val="center"/>
              <w:rPr>
                <w:lang w:val="es-ES"/>
              </w:rPr>
            </w:pPr>
            <w:r>
              <w:rPr>
                <w:noProof/>
                <w:lang w:eastAsia="es-CO"/>
              </w:rPr>
              <w:drawing>
                <wp:inline distT="0" distB="0" distL="0" distR="0">
                  <wp:extent cx="1802765" cy="1802765"/>
                  <wp:effectExtent l="19050" t="0" r="6985" b="0"/>
                  <wp:docPr id="13" name="Imagen 3" descr="CorrelaciónPositi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rrelaciónPositiva"/>
                          <pic:cNvPicPr>
                            <a:picLocks noChangeAspect="1" noChangeArrowheads="1"/>
                          </pic:cNvPicPr>
                        </pic:nvPicPr>
                        <pic:blipFill>
                          <a:blip r:embed="rId9" cstate="print"/>
                          <a:srcRect/>
                          <a:stretch>
                            <a:fillRect/>
                          </a:stretch>
                        </pic:blipFill>
                        <pic:spPr bwMode="auto">
                          <a:xfrm>
                            <a:off x="0" y="0"/>
                            <a:ext cx="1802765" cy="1802765"/>
                          </a:xfrm>
                          <a:prstGeom prst="rect">
                            <a:avLst/>
                          </a:prstGeom>
                          <a:noFill/>
                          <a:ln w="9525">
                            <a:noFill/>
                            <a:miter lim="800000"/>
                            <a:headEnd/>
                            <a:tailEnd/>
                          </a:ln>
                        </pic:spPr>
                      </pic:pic>
                    </a:graphicData>
                  </a:graphic>
                </wp:inline>
              </w:drawing>
            </w:r>
          </w:p>
        </w:tc>
      </w:tr>
      <w:tr w:rsidR="004525E5" w:rsidRPr="00A52252" w:rsidTr="004525E5">
        <w:trPr>
          <w:jc w:val="center"/>
        </w:trPr>
        <w:tc>
          <w:tcPr>
            <w:tcW w:w="3748" w:type="dxa"/>
          </w:tcPr>
          <w:p w:rsidR="004525E5" w:rsidRPr="00A52252" w:rsidRDefault="004525E5" w:rsidP="00A52252">
            <w:pPr>
              <w:jc w:val="center"/>
              <w:rPr>
                <w:lang w:val="es-ES"/>
              </w:rPr>
            </w:pPr>
            <w:r w:rsidRPr="00A52252">
              <w:rPr>
                <w:lang w:val="es-ES"/>
              </w:rPr>
              <w:t>Correlación negativa</w:t>
            </w:r>
          </w:p>
        </w:tc>
        <w:tc>
          <w:tcPr>
            <w:tcW w:w="3749" w:type="dxa"/>
          </w:tcPr>
          <w:p w:rsidR="004525E5" w:rsidRPr="00A52252" w:rsidRDefault="004525E5" w:rsidP="00A52252">
            <w:pPr>
              <w:jc w:val="center"/>
              <w:rPr>
                <w:lang w:val="es-ES"/>
              </w:rPr>
            </w:pPr>
            <w:r w:rsidRPr="00A52252">
              <w:rPr>
                <w:lang w:val="es-ES"/>
              </w:rPr>
              <w:t>Correlación positiva</w:t>
            </w:r>
          </w:p>
        </w:tc>
      </w:tr>
    </w:tbl>
    <w:p w:rsidR="0061365C" w:rsidRDefault="0061365C">
      <w:pPr>
        <w:rPr>
          <w:lang w:val="es-ES"/>
        </w:rPr>
      </w:pPr>
    </w:p>
    <w:p w:rsidR="005A488D" w:rsidRPr="00ED0B8C" w:rsidRDefault="00ED0B8C">
      <w:pPr>
        <w:rPr>
          <w:b/>
          <w:shadow/>
          <w:sz w:val="28"/>
          <w:szCs w:val="28"/>
          <w:lang w:val="es-ES"/>
        </w:rPr>
      </w:pPr>
      <w:r w:rsidRPr="00ED0B8C">
        <w:rPr>
          <w:b/>
          <w:shadow/>
          <w:sz w:val="28"/>
          <w:szCs w:val="28"/>
          <w:lang w:val="es-ES"/>
        </w:rPr>
        <w:t>Fuerza de la correlación:</w:t>
      </w:r>
    </w:p>
    <w:p w:rsidR="005A488D" w:rsidRDefault="005A488D">
      <w:pPr>
        <w:rPr>
          <w:lang w:val="es-ES"/>
        </w:rPr>
      </w:pPr>
    </w:p>
    <w:p w:rsidR="00ED0B8C" w:rsidRDefault="00521627">
      <w:pPr>
        <w:rPr>
          <w:lang w:val="es-ES"/>
        </w:rPr>
      </w:pPr>
      <w:r>
        <w:rPr>
          <w:lang w:val="es-ES"/>
        </w:rPr>
        <w:t xml:space="preserve">Es la cercanía en los </w:t>
      </w:r>
      <w:r w:rsidR="00CF0380">
        <w:rPr>
          <w:lang w:val="es-ES"/>
        </w:rPr>
        <w:t>cambios de ambas variables</w:t>
      </w:r>
      <w:r>
        <w:rPr>
          <w:lang w:val="es-ES"/>
        </w:rPr>
        <w:t>. A mayor correlación, más tienden a formar una línea recta en el diagrama de dispersión.</w:t>
      </w:r>
    </w:p>
    <w:p w:rsidR="00521627" w:rsidRDefault="00521627">
      <w:pPr>
        <w:rPr>
          <w:lang w:val="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11"/>
        <w:gridCol w:w="2812"/>
        <w:gridCol w:w="2811"/>
        <w:gridCol w:w="2812"/>
      </w:tblGrid>
      <w:tr w:rsidR="004525E5" w:rsidRPr="002D10BB" w:rsidTr="004525E5">
        <w:tc>
          <w:tcPr>
            <w:tcW w:w="2811" w:type="dxa"/>
            <w:tcBorders>
              <w:right w:val="single" w:sz="4" w:space="0" w:color="auto"/>
            </w:tcBorders>
          </w:tcPr>
          <w:p w:rsidR="004525E5" w:rsidRPr="002D10BB" w:rsidRDefault="004525E5" w:rsidP="002D10BB">
            <w:pPr>
              <w:jc w:val="center"/>
              <w:rPr>
                <w:lang w:val="es-ES"/>
              </w:rPr>
            </w:pPr>
            <w:r>
              <w:rPr>
                <w:noProof/>
                <w:lang w:eastAsia="es-CO"/>
              </w:rPr>
              <w:drawing>
                <wp:inline distT="0" distB="0" distL="0" distR="0">
                  <wp:extent cx="1351005" cy="1351005"/>
                  <wp:effectExtent l="19050" t="0" r="1545" b="0"/>
                  <wp:docPr id="11" name="Imagen 2" descr="CorrelaciónN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relaciónNula"/>
                          <pic:cNvPicPr>
                            <a:picLocks noChangeAspect="1" noChangeArrowheads="1"/>
                          </pic:cNvPicPr>
                        </pic:nvPicPr>
                        <pic:blipFill>
                          <a:blip r:embed="rId10" cstate="print"/>
                          <a:srcRect/>
                          <a:stretch>
                            <a:fillRect/>
                          </a:stretch>
                        </pic:blipFill>
                        <pic:spPr bwMode="auto">
                          <a:xfrm>
                            <a:off x="0" y="0"/>
                            <a:ext cx="1353092" cy="1353092"/>
                          </a:xfrm>
                          <a:prstGeom prst="rect">
                            <a:avLst/>
                          </a:prstGeom>
                          <a:noFill/>
                          <a:ln w="9525">
                            <a:noFill/>
                            <a:miter lim="800000"/>
                            <a:headEnd/>
                            <a:tailEnd/>
                          </a:ln>
                        </pic:spPr>
                      </pic:pic>
                    </a:graphicData>
                  </a:graphic>
                </wp:inline>
              </w:drawing>
            </w:r>
          </w:p>
        </w:tc>
        <w:tc>
          <w:tcPr>
            <w:tcW w:w="2812" w:type="dxa"/>
            <w:tcBorders>
              <w:left w:val="single" w:sz="4" w:space="0" w:color="auto"/>
            </w:tcBorders>
          </w:tcPr>
          <w:p w:rsidR="004525E5" w:rsidRPr="002D10BB" w:rsidRDefault="004525E5" w:rsidP="002D10BB">
            <w:pPr>
              <w:jc w:val="center"/>
              <w:rPr>
                <w:lang w:val="es-ES"/>
              </w:rPr>
            </w:pPr>
            <w:r>
              <w:rPr>
                <w:noProof/>
                <w:lang w:eastAsia="es-CO"/>
              </w:rPr>
              <w:drawing>
                <wp:inline distT="0" distB="0" distL="0" distR="0">
                  <wp:extent cx="1408670" cy="1408670"/>
                  <wp:effectExtent l="19050" t="0" r="1030" b="0"/>
                  <wp:docPr id="10" name="Imagen 4" descr="CorrelaciónPositivaDé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rrelaciónPositivaDébil"/>
                          <pic:cNvPicPr>
                            <a:picLocks noChangeAspect="1" noChangeArrowheads="1"/>
                          </pic:cNvPicPr>
                        </pic:nvPicPr>
                        <pic:blipFill>
                          <a:blip r:embed="rId11" cstate="print"/>
                          <a:srcRect/>
                          <a:stretch>
                            <a:fillRect/>
                          </a:stretch>
                        </pic:blipFill>
                        <pic:spPr bwMode="auto">
                          <a:xfrm>
                            <a:off x="0" y="0"/>
                            <a:ext cx="1408670" cy="1408670"/>
                          </a:xfrm>
                          <a:prstGeom prst="rect">
                            <a:avLst/>
                          </a:prstGeom>
                          <a:noFill/>
                          <a:ln w="9525">
                            <a:noFill/>
                            <a:miter lim="800000"/>
                            <a:headEnd/>
                            <a:tailEnd/>
                          </a:ln>
                        </pic:spPr>
                      </pic:pic>
                    </a:graphicData>
                  </a:graphic>
                </wp:inline>
              </w:drawing>
            </w:r>
          </w:p>
        </w:tc>
        <w:tc>
          <w:tcPr>
            <w:tcW w:w="2811" w:type="dxa"/>
          </w:tcPr>
          <w:p w:rsidR="004525E5" w:rsidRPr="002D10BB" w:rsidRDefault="004525E5" w:rsidP="002D10BB">
            <w:pPr>
              <w:jc w:val="center"/>
              <w:rPr>
                <w:lang w:val="es-ES"/>
              </w:rPr>
            </w:pPr>
            <w:r>
              <w:rPr>
                <w:noProof/>
                <w:lang w:eastAsia="es-CO"/>
              </w:rPr>
              <w:drawing>
                <wp:inline distT="0" distB="0" distL="0" distR="0">
                  <wp:extent cx="1408670" cy="1408670"/>
                  <wp:effectExtent l="19050" t="0" r="1030" b="0"/>
                  <wp:docPr id="8" name="Imagen 5" descr="CorrelaciónPositi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rrelaciónPositiva"/>
                          <pic:cNvPicPr>
                            <a:picLocks noChangeAspect="1" noChangeArrowheads="1"/>
                          </pic:cNvPicPr>
                        </pic:nvPicPr>
                        <pic:blipFill>
                          <a:blip r:embed="rId9" cstate="print"/>
                          <a:srcRect/>
                          <a:stretch>
                            <a:fillRect/>
                          </a:stretch>
                        </pic:blipFill>
                        <pic:spPr bwMode="auto">
                          <a:xfrm>
                            <a:off x="0" y="0"/>
                            <a:ext cx="1408670" cy="1408670"/>
                          </a:xfrm>
                          <a:prstGeom prst="rect">
                            <a:avLst/>
                          </a:prstGeom>
                          <a:noFill/>
                          <a:ln w="9525">
                            <a:noFill/>
                            <a:miter lim="800000"/>
                            <a:headEnd/>
                            <a:tailEnd/>
                          </a:ln>
                        </pic:spPr>
                      </pic:pic>
                    </a:graphicData>
                  </a:graphic>
                </wp:inline>
              </w:drawing>
            </w:r>
          </w:p>
        </w:tc>
        <w:tc>
          <w:tcPr>
            <w:tcW w:w="2812" w:type="dxa"/>
          </w:tcPr>
          <w:p w:rsidR="004525E5" w:rsidRPr="002D10BB" w:rsidRDefault="004525E5" w:rsidP="002D10BB">
            <w:pPr>
              <w:jc w:val="center"/>
              <w:rPr>
                <w:lang w:val="es-ES"/>
              </w:rPr>
            </w:pPr>
            <w:r>
              <w:rPr>
                <w:noProof/>
                <w:lang w:eastAsia="es-CO"/>
              </w:rPr>
              <w:drawing>
                <wp:inline distT="0" distB="0" distL="0" distR="0">
                  <wp:extent cx="1459350" cy="1459350"/>
                  <wp:effectExtent l="19050" t="0" r="7500" b="0"/>
                  <wp:docPr id="9" name="Imagen 6" descr="CorrelaciónPositivaPerfec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rrelaciónPositivaPerfecta"/>
                          <pic:cNvPicPr>
                            <a:picLocks noChangeAspect="1" noChangeArrowheads="1"/>
                          </pic:cNvPicPr>
                        </pic:nvPicPr>
                        <pic:blipFill>
                          <a:blip r:embed="rId12" cstate="print"/>
                          <a:srcRect/>
                          <a:stretch>
                            <a:fillRect/>
                          </a:stretch>
                        </pic:blipFill>
                        <pic:spPr bwMode="auto">
                          <a:xfrm>
                            <a:off x="0" y="0"/>
                            <a:ext cx="1459350" cy="1459350"/>
                          </a:xfrm>
                          <a:prstGeom prst="rect">
                            <a:avLst/>
                          </a:prstGeom>
                          <a:noFill/>
                          <a:ln w="9525">
                            <a:noFill/>
                            <a:miter lim="800000"/>
                            <a:headEnd/>
                            <a:tailEnd/>
                          </a:ln>
                        </pic:spPr>
                      </pic:pic>
                    </a:graphicData>
                  </a:graphic>
                </wp:inline>
              </w:drawing>
            </w:r>
          </w:p>
        </w:tc>
      </w:tr>
      <w:tr w:rsidR="004525E5" w:rsidRPr="002D10BB" w:rsidTr="004525E5">
        <w:tc>
          <w:tcPr>
            <w:tcW w:w="2811" w:type="dxa"/>
            <w:tcBorders>
              <w:right w:val="single" w:sz="4" w:space="0" w:color="auto"/>
            </w:tcBorders>
          </w:tcPr>
          <w:p w:rsidR="004525E5" w:rsidRPr="002D10BB" w:rsidRDefault="004525E5" w:rsidP="004525E5">
            <w:pPr>
              <w:jc w:val="center"/>
              <w:rPr>
                <w:lang w:val="es-ES"/>
              </w:rPr>
            </w:pPr>
            <w:r>
              <w:rPr>
                <w:lang w:val="es-ES"/>
              </w:rPr>
              <w:t>Correlación nula</w:t>
            </w:r>
            <w:r w:rsidR="003511FF">
              <w:rPr>
                <w:lang w:val="es-ES"/>
              </w:rPr>
              <w:t xml:space="preserve"> (ausente)</w:t>
            </w:r>
          </w:p>
        </w:tc>
        <w:tc>
          <w:tcPr>
            <w:tcW w:w="2812" w:type="dxa"/>
            <w:tcBorders>
              <w:left w:val="single" w:sz="4" w:space="0" w:color="auto"/>
            </w:tcBorders>
          </w:tcPr>
          <w:p w:rsidR="004525E5" w:rsidRPr="002D10BB" w:rsidRDefault="004525E5" w:rsidP="002D10BB">
            <w:pPr>
              <w:jc w:val="center"/>
              <w:rPr>
                <w:lang w:val="es-ES"/>
              </w:rPr>
            </w:pPr>
            <w:r w:rsidRPr="002D10BB">
              <w:rPr>
                <w:lang w:val="es-ES"/>
              </w:rPr>
              <w:t>Correlación positiva débil</w:t>
            </w:r>
          </w:p>
        </w:tc>
        <w:tc>
          <w:tcPr>
            <w:tcW w:w="2811" w:type="dxa"/>
          </w:tcPr>
          <w:p w:rsidR="004525E5" w:rsidRPr="002D10BB" w:rsidRDefault="004525E5" w:rsidP="002D10BB">
            <w:pPr>
              <w:jc w:val="center"/>
              <w:rPr>
                <w:lang w:val="es-ES"/>
              </w:rPr>
            </w:pPr>
            <w:r w:rsidRPr="002D10BB">
              <w:rPr>
                <w:lang w:val="es-ES"/>
              </w:rPr>
              <w:t>Correlación positiva fuerte</w:t>
            </w:r>
          </w:p>
        </w:tc>
        <w:tc>
          <w:tcPr>
            <w:tcW w:w="2812" w:type="dxa"/>
          </w:tcPr>
          <w:p w:rsidR="004525E5" w:rsidRPr="002D10BB" w:rsidRDefault="004525E5" w:rsidP="002D10BB">
            <w:pPr>
              <w:jc w:val="center"/>
              <w:rPr>
                <w:lang w:val="es-ES"/>
              </w:rPr>
            </w:pPr>
            <w:r w:rsidRPr="002D10BB">
              <w:rPr>
                <w:lang w:val="es-ES"/>
              </w:rPr>
              <w:t>Correlación positiva perfecta</w:t>
            </w:r>
          </w:p>
        </w:tc>
      </w:tr>
    </w:tbl>
    <w:p w:rsidR="00E93E6F" w:rsidRDefault="00E93E6F">
      <w:pPr>
        <w:rPr>
          <w:lang w:val="es-ES"/>
        </w:rPr>
      </w:pPr>
    </w:p>
    <w:p w:rsidR="00521627" w:rsidRDefault="007E7811">
      <w:pPr>
        <w:rPr>
          <w:lang w:val="es-ES"/>
        </w:rPr>
      </w:pPr>
      <w:r>
        <w:rPr>
          <w:lang w:val="es-ES"/>
        </w:rPr>
        <w:t>La fuerza de la correlación se mide con:</w:t>
      </w:r>
    </w:p>
    <w:p w:rsidR="007E7811" w:rsidRDefault="007E7811" w:rsidP="007E7811">
      <w:pPr>
        <w:numPr>
          <w:ilvl w:val="0"/>
          <w:numId w:val="11"/>
        </w:numPr>
        <w:rPr>
          <w:lang w:val="es-ES"/>
        </w:rPr>
      </w:pPr>
      <w:r>
        <w:rPr>
          <w:lang w:val="es-ES"/>
        </w:rPr>
        <w:t>Coeficiente de correlación producto-momento</w:t>
      </w:r>
      <w:r w:rsidR="00F52E26">
        <w:rPr>
          <w:lang w:val="es-ES"/>
        </w:rPr>
        <w:t xml:space="preserve"> (de </w:t>
      </w:r>
      <w:proofErr w:type="spellStart"/>
      <w:r w:rsidR="00F52E26">
        <w:rPr>
          <w:lang w:val="es-ES"/>
        </w:rPr>
        <w:t>Pearson</w:t>
      </w:r>
      <w:proofErr w:type="spellEnd"/>
      <w:r w:rsidR="00F52E26">
        <w:rPr>
          <w:lang w:val="es-ES"/>
        </w:rPr>
        <w:t>)</w:t>
      </w:r>
      <w:r>
        <w:rPr>
          <w:lang w:val="es-ES"/>
        </w:rPr>
        <w:t>: para variables numéricas.</w:t>
      </w:r>
    </w:p>
    <w:p w:rsidR="007E7811" w:rsidRDefault="007E7811" w:rsidP="007E7811">
      <w:pPr>
        <w:numPr>
          <w:ilvl w:val="0"/>
          <w:numId w:val="11"/>
        </w:numPr>
        <w:rPr>
          <w:lang w:val="es-ES"/>
        </w:rPr>
      </w:pPr>
      <w:r>
        <w:rPr>
          <w:lang w:val="es-ES"/>
        </w:rPr>
        <w:t>Coeficiente de correlación de rango</w:t>
      </w:r>
      <w:r w:rsidR="00F52E26">
        <w:rPr>
          <w:lang w:val="es-ES"/>
        </w:rPr>
        <w:t xml:space="preserve"> (de </w:t>
      </w:r>
      <w:proofErr w:type="spellStart"/>
      <w:r w:rsidR="00F52E26">
        <w:rPr>
          <w:lang w:val="es-ES"/>
        </w:rPr>
        <w:t>Spearman</w:t>
      </w:r>
      <w:proofErr w:type="spellEnd"/>
      <w:r w:rsidR="00F52E26">
        <w:rPr>
          <w:lang w:val="es-ES"/>
        </w:rPr>
        <w:t>)</w:t>
      </w:r>
      <w:r>
        <w:rPr>
          <w:lang w:val="es-ES"/>
        </w:rPr>
        <w:t>: para variable ordinales.</w:t>
      </w:r>
    </w:p>
    <w:p w:rsidR="007E7811" w:rsidRPr="00376231" w:rsidRDefault="007E7811" w:rsidP="007E7811">
      <w:pPr>
        <w:rPr>
          <w:lang w:val="es-ES"/>
        </w:rPr>
      </w:pPr>
      <w:r w:rsidRPr="00376231">
        <w:rPr>
          <w:lang w:val="es-ES"/>
        </w:rPr>
        <w:t xml:space="preserve">El coeficiente de correlación (r) va de </w:t>
      </w:r>
      <w:r w:rsidRPr="006D4467">
        <w:rPr>
          <w:b/>
          <w:lang w:val="es-ES"/>
        </w:rPr>
        <w:t>perfecto</w:t>
      </w:r>
      <w:r w:rsidRPr="00376231">
        <w:rPr>
          <w:lang w:val="es-ES"/>
        </w:rPr>
        <w:t xml:space="preserve"> (</w:t>
      </w:r>
      <w:r w:rsidRPr="006D4467">
        <w:rPr>
          <w:b/>
          <w:highlight w:val="yellow"/>
          <w:lang w:val="es-ES"/>
        </w:rPr>
        <w:t>-1</w:t>
      </w:r>
      <w:r w:rsidRPr="00376231">
        <w:rPr>
          <w:lang w:val="es-ES"/>
        </w:rPr>
        <w:t xml:space="preserve"> ó 1) a nulo (0).</w:t>
      </w:r>
    </w:p>
    <w:p w:rsidR="007B3D07" w:rsidRDefault="007B3D07" w:rsidP="007E7811">
      <w:pPr>
        <w:rPr>
          <w:lang w:val="es-ES"/>
        </w:rPr>
      </w:pPr>
    </w:p>
    <w:p w:rsidR="004525E5" w:rsidRDefault="004525E5" w:rsidP="007E7811">
      <w:pPr>
        <w:rPr>
          <w:lang w:val="es-ES"/>
        </w:rPr>
      </w:pPr>
    </w:p>
    <w:p w:rsidR="004525E5" w:rsidRPr="00376231" w:rsidRDefault="004525E5" w:rsidP="007E7811">
      <w:pPr>
        <w:rPr>
          <w:lang w:val="es-ES"/>
        </w:rPr>
      </w:pPr>
    </w:p>
    <w:p w:rsidR="007B3D07" w:rsidRPr="00376231" w:rsidRDefault="00376231" w:rsidP="007B3D07">
      <w:pPr>
        <w:rPr>
          <w:b/>
          <w:shadow/>
          <w:sz w:val="28"/>
          <w:szCs w:val="28"/>
          <w:lang w:val="es-ES"/>
        </w:rPr>
      </w:pPr>
      <w:r w:rsidRPr="00376231">
        <w:rPr>
          <w:b/>
          <w:shadow/>
          <w:sz w:val="28"/>
          <w:szCs w:val="28"/>
          <w:lang w:val="es-ES"/>
        </w:rPr>
        <w:t>De la muestra a la población</w:t>
      </w:r>
      <w:r w:rsidR="007B3D07" w:rsidRPr="00376231">
        <w:rPr>
          <w:b/>
          <w:shadow/>
          <w:sz w:val="28"/>
          <w:szCs w:val="28"/>
          <w:lang w:val="es-ES"/>
        </w:rPr>
        <w:t>:</w:t>
      </w:r>
    </w:p>
    <w:p w:rsidR="00376231" w:rsidRDefault="00376231" w:rsidP="007E7811">
      <w:pPr>
        <w:rPr>
          <w:lang w:val="es-ES"/>
        </w:rPr>
      </w:pPr>
    </w:p>
    <w:p w:rsidR="000D5F77" w:rsidRDefault="000D5F77" w:rsidP="007E7811">
      <w:pPr>
        <w:rPr>
          <w:lang w:val="es-ES"/>
        </w:rPr>
      </w:pPr>
      <w:r>
        <w:rPr>
          <w:lang w:val="es-ES"/>
        </w:rPr>
        <w:t>¿El r de la muestra es un estimador confiable del r de la población? Esto depende de dos factores:</w:t>
      </w:r>
    </w:p>
    <w:p w:rsidR="000D5F77" w:rsidRDefault="000D5F77" w:rsidP="000D5F77">
      <w:pPr>
        <w:numPr>
          <w:ilvl w:val="0"/>
          <w:numId w:val="12"/>
        </w:numPr>
        <w:rPr>
          <w:lang w:val="es-ES"/>
        </w:rPr>
      </w:pPr>
      <w:r>
        <w:rPr>
          <w:lang w:val="es-ES"/>
        </w:rPr>
        <w:t>La magnitud del coeficiente: a más grande, hay menos probabilidad de que se</w:t>
      </w:r>
      <w:r w:rsidR="009867ED">
        <w:rPr>
          <w:lang w:val="es-ES"/>
        </w:rPr>
        <w:t xml:space="preserve"> deb</w:t>
      </w:r>
      <w:r>
        <w:rPr>
          <w:lang w:val="es-ES"/>
        </w:rPr>
        <w:t xml:space="preserve">a </w:t>
      </w:r>
      <w:r w:rsidR="009867ED">
        <w:rPr>
          <w:lang w:val="es-ES"/>
        </w:rPr>
        <w:t xml:space="preserve">a </w:t>
      </w:r>
      <w:r w:rsidR="00B32DA0">
        <w:rPr>
          <w:lang w:val="es-ES"/>
        </w:rPr>
        <w:t>las oscilaciones debidas al</w:t>
      </w:r>
      <w:r>
        <w:rPr>
          <w:lang w:val="es-ES"/>
        </w:rPr>
        <w:t xml:space="preserve"> azar.</w:t>
      </w:r>
    </w:p>
    <w:p w:rsidR="00B32DA0" w:rsidRDefault="00B32DA0" w:rsidP="000D5F77">
      <w:pPr>
        <w:numPr>
          <w:ilvl w:val="0"/>
          <w:numId w:val="12"/>
        </w:numPr>
        <w:rPr>
          <w:lang w:val="es-ES"/>
        </w:rPr>
      </w:pPr>
      <w:r>
        <w:rPr>
          <w:lang w:val="es-ES"/>
        </w:rPr>
        <w:t xml:space="preserve">El tamaño de la muestra: a más grande, más similar será el r </w:t>
      </w:r>
      <w:proofErr w:type="spellStart"/>
      <w:r>
        <w:rPr>
          <w:lang w:val="es-ES"/>
        </w:rPr>
        <w:t>muestral</w:t>
      </w:r>
      <w:proofErr w:type="spellEnd"/>
      <w:r>
        <w:rPr>
          <w:lang w:val="es-ES"/>
        </w:rPr>
        <w:t xml:space="preserve"> al r poblacional.</w:t>
      </w:r>
    </w:p>
    <w:p w:rsidR="000D5F77" w:rsidRDefault="00975DDA" w:rsidP="007E7811">
      <w:pPr>
        <w:rPr>
          <w:lang w:val="es-ES"/>
        </w:rPr>
      </w:pPr>
      <w:r>
        <w:rPr>
          <w:lang w:val="es-ES"/>
        </w:rPr>
        <w:t xml:space="preserve">Dado esto, el </w:t>
      </w:r>
      <w:r w:rsidR="009867ED">
        <w:rPr>
          <w:lang w:val="es-ES"/>
        </w:rPr>
        <w:t>“</w:t>
      </w:r>
      <w:r>
        <w:rPr>
          <w:lang w:val="es-ES"/>
        </w:rPr>
        <w:t>Error Estándar del Coeficiente de Correlación</w:t>
      </w:r>
      <w:r w:rsidR="009867ED">
        <w:rPr>
          <w:lang w:val="es-ES"/>
        </w:rPr>
        <w:t>”</w:t>
      </w:r>
      <w:r>
        <w:rPr>
          <w:lang w:val="es-ES"/>
        </w:rPr>
        <w:t xml:space="preserve"> (que es la desviación estándar de una distribución de coeficientes de correlación </w:t>
      </w:r>
      <w:proofErr w:type="spellStart"/>
      <w:r>
        <w:rPr>
          <w:lang w:val="es-ES"/>
        </w:rPr>
        <w:t>muestrales</w:t>
      </w:r>
      <w:proofErr w:type="spellEnd"/>
      <w:r>
        <w:rPr>
          <w:lang w:val="es-ES"/>
        </w:rPr>
        <w:t>) se calcula así:</w:t>
      </w:r>
    </w:p>
    <w:p w:rsidR="000D5F77" w:rsidRPr="00376231" w:rsidRDefault="000D5F77" w:rsidP="007E7811">
      <w:pPr>
        <w:rPr>
          <w:lang w:val="es-ES"/>
        </w:rPr>
      </w:pPr>
    </w:p>
    <w:tbl>
      <w:tblPr>
        <w:tblW w:w="0" w:type="auto"/>
        <w:tblLook w:val="04A0"/>
      </w:tblPr>
      <w:tblGrid>
        <w:gridCol w:w="841"/>
        <w:gridCol w:w="987"/>
        <w:gridCol w:w="699"/>
        <w:gridCol w:w="8638"/>
      </w:tblGrid>
      <w:tr w:rsidR="00376231" w:rsidRPr="00A52252" w:rsidTr="00A52252">
        <w:tc>
          <w:tcPr>
            <w:tcW w:w="841" w:type="dxa"/>
            <w:vMerge w:val="restart"/>
            <w:vAlign w:val="center"/>
          </w:tcPr>
          <w:p w:rsidR="00376231" w:rsidRPr="00A52252" w:rsidRDefault="00376231" w:rsidP="00A52252">
            <w:pPr>
              <w:jc w:val="left"/>
              <w:rPr>
                <w:lang w:val="es-ES"/>
              </w:rPr>
            </w:pPr>
            <w:proofErr w:type="spellStart"/>
            <w:r w:rsidRPr="00A52252">
              <w:rPr>
                <w:lang w:val="es-ES"/>
              </w:rPr>
              <w:t>EE</w:t>
            </w:r>
            <w:r w:rsidRPr="00A52252">
              <w:rPr>
                <w:vertAlign w:val="subscript"/>
                <w:lang w:val="es-ES"/>
              </w:rPr>
              <w:t>r</w:t>
            </w:r>
            <w:proofErr w:type="spellEnd"/>
            <w:r w:rsidRPr="00A52252">
              <w:rPr>
                <w:lang w:val="es-ES"/>
              </w:rPr>
              <w:t xml:space="preserve"> =</w:t>
            </w:r>
          </w:p>
        </w:tc>
        <w:tc>
          <w:tcPr>
            <w:tcW w:w="987" w:type="dxa"/>
            <w:tcBorders>
              <w:bottom w:val="single" w:sz="4" w:space="0" w:color="auto"/>
            </w:tcBorders>
            <w:vAlign w:val="center"/>
          </w:tcPr>
          <w:p w:rsidR="00376231" w:rsidRPr="00A52252" w:rsidRDefault="00376231" w:rsidP="00A52252">
            <w:pPr>
              <w:jc w:val="center"/>
              <w:rPr>
                <w:lang w:val="es-ES"/>
              </w:rPr>
            </w:pPr>
            <w:r w:rsidRPr="00A52252">
              <w:rPr>
                <w:lang w:val="es-ES"/>
              </w:rPr>
              <w:t>1 – (r)</w:t>
            </w:r>
            <w:r w:rsidRPr="00A52252">
              <w:rPr>
                <w:vertAlign w:val="superscript"/>
                <w:lang w:val="es-ES"/>
              </w:rPr>
              <w:t>2</w:t>
            </w:r>
          </w:p>
        </w:tc>
        <w:tc>
          <w:tcPr>
            <w:tcW w:w="699" w:type="dxa"/>
          </w:tcPr>
          <w:p w:rsidR="00376231" w:rsidRPr="00A52252" w:rsidRDefault="00376231" w:rsidP="00C35A59">
            <w:pPr>
              <w:rPr>
                <w:lang w:val="es-ES"/>
              </w:rPr>
            </w:pPr>
          </w:p>
        </w:tc>
        <w:tc>
          <w:tcPr>
            <w:tcW w:w="8638" w:type="dxa"/>
            <w:vMerge w:val="restart"/>
            <w:vAlign w:val="center"/>
          </w:tcPr>
          <w:p w:rsidR="00376231" w:rsidRPr="00A52252" w:rsidRDefault="00376231" w:rsidP="00A52252">
            <w:pPr>
              <w:jc w:val="left"/>
              <w:rPr>
                <w:lang w:val="es-ES"/>
              </w:rPr>
            </w:pPr>
            <w:r w:rsidRPr="00A52252">
              <w:rPr>
                <w:lang w:val="es-ES"/>
              </w:rPr>
              <w:t xml:space="preserve">De forma que el intervalo de confianza al 95% sería: r ± 1.96 </w:t>
            </w:r>
            <w:proofErr w:type="spellStart"/>
            <w:r w:rsidRPr="00A52252">
              <w:rPr>
                <w:lang w:val="es-ES"/>
              </w:rPr>
              <w:t>EE</w:t>
            </w:r>
            <w:r w:rsidRPr="00A52252">
              <w:rPr>
                <w:vertAlign w:val="subscript"/>
                <w:lang w:val="es-ES"/>
              </w:rPr>
              <w:t>r</w:t>
            </w:r>
            <w:proofErr w:type="spellEnd"/>
          </w:p>
        </w:tc>
      </w:tr>
      <w:tr w:rsidR="00376231" w:rsidRPr="00A52252" w:rsidTr="00A52252">
        <w:tc>
          <w:tcPr>
            <w:tcW w:w="841" w:type="dxa"/>
            <w:vMerge/>
          </w:tcPr>
          <w:p w:rsidR="00376231" w:rsidRPr="00A52252" w:rsidRDefault="00376231" w:rsidP="007E7811">
            <w:pPr>
              <w:rPr>
                <w:lang w:val="es-ES"/>
              </w:rPr>
            </w:pPr>
          </w:p>
        </w:tc>
        <w:tc>
          <w:tcPr>
            <w:tcW w:w="987" w:type="dxa"/>
            <w:tcBorders>
              <w:top w:val="single" w:sz="4" w:space="0" w:color="auto"/>
            </w:tcBorders>
            <w:vAlign w:val="center"/>
          </w:tcPr>
          <w:p w:rsidR="00376231" w:rsidRPr="00A52252" w:rsidRDefault="00376231" w:rsidP="00A52252">
            <w:pPr>
              <w:jc w:val="center"/>
              <w:rPr>
                <w:lang w:val="es-ES"/>
              </w:rPr>
            </w:pPr>
            <w:r w:rsidRPr="00A52252">
              <w:rPr>
                <w:lang w:val="es-ES"/>
              </w:rPr>
              <w:t>√n</w:t>
            </w:r>
          </w:p>
        </w:tc>
        <w:tc>
          <w:tcPr>
            <w:tcW w:w="699" w:type="dxa"/>
          </w:tcPr>
          <w:p w:rsidR="00376231" w:rsidRPr="00A52252" w:rsidRDefault="00376231" w:rsidP="00C35A59">
            <w:pPr>
              <w:rPr>
                <w:lang w:val="es-ES"/>
              </w:rPr>
            </w:pPr>
          </w:p>
        </w:tc>
        <w:tc>
          <w:tcPr>
            <w:tcW w:w="8638" w:type="dxa"/>
            <w:vMerge/>
          </w:tcPr>
          <w:p w:rsidR="00376231" w:rsidRPr="00A52252" w:rsidRDefault="00376231" w:rsidP="00C35A59">
            <w:pPr>
              <w:rPr>
                <w:lang w:val="es-ES"/>
              </w:rPr>
            </w:pPr>
          </w:p>
        </w:tc>
      </w:tr>
    </w:tbl>
    <w:p w:rsidR="00C35A59" w:rsidRPr="00376231" w:rsidRDefault="00C35A59" w:rsidP="007E7811">
      <w:pPr>
        <w:rPr>
          <w:lang w:val="es-ES"/>
        </w:rPr>
      </w:pPr>
    </w:p>
    <w:p w:rsidR="00376231" w:rsidRPr="00376231" w:rsidRDefault="00376231" w:rsidP="00376231">
      <w:pPr>
        <w:rPr>
          <w:b/>
          <w:shadow/>
          <w:sz w:val="28"/>
          <w:szCs w:val="28"/>
          <w:lang w:val="es-ES"/>
        </w:rPr>
      </w:pPr>
      <w:r w:rsidRPr="00376231">
        <w:rPr>
          <w:b/>
          <w:shadow/>
          <w:sz w:val="28"/>
          <w:szCs w:val="28"/>
          <w:lang w:val="es-ES"/>
        </w:rPr>
        <w:t>Significa</w:t>
      </w:r>
      <w:r w:rsidR="00F60B42">
        <w:rPr>
          <w:b/>
          <w:shadow/>
          <w:sz w:val="28"/>
          <w:szCs w:val="28"/>
          <w:lang w:val="es-ES"/>
        </w:rPr>
        <w:t>ncia</w:t>
      </w:r>
      <w:r w:rsidRPr="00376231">
        <w:rPr>
          <w:b/>
          <w:shadow/>
          <w:sz w:val="28"/>
          <w:szCs w:val="28"/>
          <w:lang w:val="es-ES"/>
        </w:rPr>
        <w:t xml:space="preserve"> del coeficiente:</w:t>
      </w:r>
    </w:p>
    <w:p w:rsidR="00376231" w:rsidRDefault="00376231" w:rsidP="00376231">
      <w:pPr>
        <w:rPr>
          <w:lang w:val="es-ES"/>
        </w:rPr>
      </w:pPr>
    </w:p>
    <w:p w:rsidR="00997B58" w:rsidRDefault="00997B58" w:rsidP="00376231">
      <w:pPr>
        <w:rPr>
          <w:lang w:val="es-ES"/>
        </w:rPr>
      </w:pPr>
      <w:r>
        <w:rPr>
          <w:lang w:val="es-ES"/>
        </w:rPr>
        <w:t>Si se quiere determinar la seguridad con la cual la relación encontrada es real, y no debida al azar, se aplica una prueba de significancia estad</w:t>
      </w:r>
      <w:r w:rsidR="00F60B42">
        <w:rPr>
          <w:lang w:val="es-ES"/>
        </w:rPr>
        <w:t xml:space="preserve">ística: prueba t para coeficientes de correlación. Una forma rápida y </w:t>
      </w:r>
      <w:r w:rsidR="00F60B42" w:rsidRPr="004D0093">
        <w:rPr>
          <w:b/>
          <w:lang w:val="es-ES"/>
        </w:rPr>
        <w:t>aproximada</w:t>
      </w:r>
      <w:r w:rsidR="00F60B42">
        <w:rPr>
          <w:lang w:val="es-ES"/>
        </w:rPr>
        <w:t xml:space="preserve"> es la siguiente:</w:t>
      </w:r>
    </w:p>
    <w:p w:rsidR="00997B58" w:rsidRPr="00376231" w:rsidRDefault="00997B58" w:rsidP="00376231">
      <w:pPr>
        <w:rPr>
          <w:lang w:val="es-ES"/>
        </w:rPr>
      </w:pPr>
    </w:p>
    <w:tbl>
      <w:tblPr>
        <w:tblW w:w="11165" w:type="dxa"/>
        <w:tblLook w:val="04A0"/>
      </w:tblPr>
      <w:tblGrid>
        <w:gridCol w:w="4077"/>
        <w:gridCol w:w="709"/>
        <w:gridCol w:w="992"/>
        <w:gridCol w:w="426"/>
        <w:gridCol w:w="992"/>
        <w:gridCol w:w="3969"/>
      </w:tblGrid>
      <w:tr w:rsidR="00BB68A1" w:rsidRPr="00A52252" w:rsidTr="00A52252">
        <w:tc>
          <w:tcPr>
            <w:tcW w:w="4077" w:type="dxa"/>
            <w:vMerge w:val="restart"/>
            <w:vAlign w:val="center"/>
          </w:tcPr>
          <w:p w:rsidR="00BB68A1" w:rsidRPr="00A52252" w:rsidRDefault="00BB68A1" w:rsidP="00376231">
            <w:pPr>
              <w:rPr>
                <w:lang w:val="es-ES"/>
              </w:rPr>
            </w:pPr>
            <w:r w:rsidRPr="00A52252">
              <w:rPr>
                <w:lang w:val="es-ES"/>
              </w:rPr>
              <w:t>La hipótesis nula es que r = 0, entonces:</w:t>
            </w:r>
          </w:p>
        </w:tc>
        <w:tc>
          <w:tcPr>
            <w:tcW w:w="709" w:type="dxa"/>
            <w:vMerge w:val="restart"/>
            <w:vAlign w:val="center"/>
          </w:tcPr>
          <w:p w:rsidR="00BB68A1" w:rsidRPr="00A52252" w:rsidRDefault="00BB68A1" w:rsidP="00A52252">
            <w:pPr>
              <w:jc w:val="left"/>
              <w:rPr>
                <w:lang w:val="es-ES"/>
              </w:rPr>
            </w:pPr>
            <w:proofErr w:type="spellStart"/>
            <w:r w:rsidRPr="00A52252">
              <w:rPr>
                <w:lang w:val="es-ES"/>
              </w:rPr>
              <w:t>EE</w:t>
            </w:r>
            <w:r w:rsidRPr="00A52252">
              <w:rPr>
                <w:vertAlign w:val="subscript"/>
                <w:lang w:val="es-ES"/>
              </w:rPr>
              <w:t>r</w:t>
            </w:r>
            <w:proofErr w:type="spellEnd"/>
            <w:r w:rsidRPr="00A52252">
              <w:rPr>
                <w:lang w:val="es-ES"/>
              </w:rPr>
              <w:t xml:space="preserve"> =</w:t>
            </w:r>
          </w:p>
        </w:tc>
        <w:tc>
          <w:tcPr>
            <w:tcW w:w="992" w:type="dxa"/>
            <w:tcBorders>
              <w:bottom w:val="single" w:sz="4" w:space="0" w:color="auto"/>
            </w:tcBorders>
            <w:vAlign w:val="center"/>
          </w:tcPr>
          <w:p w:rsidR="00BB68A1" w:rsidRPr="00A52252" w:rsidRDefault="00BB68A1" w:rsidP="00A52252">
            <w:pPr>
              <w:jc w:val="center"/>
              <w:rPr>
                <w:lang w:val="es-ES"/>
              </w:rPr>
            </w:pPr>
            <w:r w:rsidRPr="00A52252">
              <w:rPr>
                <w:lang w:val="es-ES"/>
              </w:rPr>
              <w:t>1 – (0)</w:t>
            </w:r>
            <w:r w:rsidRPr="00A52252">
              <w:rPr>
                <w:vertAlign w:val="superscript"/>
                <w:lang w:val="es-ES"/>
              </w:rPr>
              <w:t>2</w:t>
            </w:r>
          </w:p>
        </w:tc>
        <w:tc>
          <w:tcPr>
            <w:tcW w:w="426" w:type="dxa"/>
            <w:vMerge w:val="restart"/>
            <w:vAlign w:val="center"/>
          </w:tcPr>
          <w:p w:rsidR="00BB68A1" w:rsidRPr="00A52252" w:rsidRDefault="00BB68A1" w:rsidP="00A52252">
            <w:pPr>
              <w:jc w:val="left"/>
              <w:rPr>
                <w:lang w:val="es-ES"/>
              </w:rPr>
            </w:pPr>
            <w:r w:rsidRPr="00A52252">
              <w:rPr>
                <w:lang w:val="es-ES"/>
              </w:rPr>
              <w:t>=</w:t>
            </w:r>
          </w:p>
        </w:tc>
        <w:tc>
          <w:tcPr>
            <w:tcW w:w="992" w:type="dxa"/>
            <w:tcBorders>
              <w:bottom w:val="single" w:sz="4" w:space="0" w:color="auto"/>
            </w:tcBorders>
            <w:vAlign w:val="center"/>
          </w:tcPr>
          <w:p w:rsidR="00BB68A1" w:rsidRPr="00A52252" w:rsidRDefault="00BB68A1" w:rsidP="00A52252">
            <w:pPr>
              <w:jc w:val="center"/>
              <w:rPr>
                <w:lang w:val="es-ES"/>
              </w:rPr>
            </w:pPr>
            <w:r w:rsidRPr="00A52252">
              <w:rPr>
                <w:lang w:val="es-ES"/>
              </w:rPr>
              <w:t>1</w:t>
            </w:r>
          </w:p>
        </w:tc>
        <w:tc>
          <w:tcPr>
            <w:tcW w:w="3969" w:type="dxa"/>
          </w:tcPr>
          <w:p w:rsidR="00BB68A1" w:rsidRPr="00A52252" w:rsidRDefault="00BB68A1" w:rsidP="00A52252">
            <w:pPr>
              <w:rPr>
                <w:lang w:val="es-ES"/>
              </w:rPr>
            </w:pPr>
          </w:p>
        </w:tc>
      </w:tr>
      <w:tr w:rsidR="00BB68A1" w:rsidRPr="00A52252" w:rsidTr="00A52252">
        <w:tc>
          <w:tcPr>
            <w:tcW w:w="4077" w:type="dxa"/>
            <w:vMerge/>
          </w:tcPr>
          <w:p w:rsidR="00BB68A1" w:rsidRPr="00A52252" w:rsidRDefault="00BB68A1" w:rsidP="00A52252">
            <w:pPr>
              <w:rPr>
                <w:lang w:val="es-ES"/>
              </w:rPr>
            </w:pPr>
          </w:p>
        </w:tc>
        <w:tc>
          <w:tcPr>
            <w:tcW w:w="709" w:type="dxa"/>
            <w:vMerge/>
          </w:tcPr>
          <w:p w:rsidR="00BB68A1" w:rsidRPr="00A52252" w:rsidRDefault="00BB68A1" w:rsidP="00A52252">
            <w:pPr>
              <w:rPr>
                <w:lang w:val="es-ES"/>
              </w:rPr>
            </w:pPr>
          </w:p>
        </w:tc>
        <w:tc>
          <w:tcPr>
            <w:tcW w:w="992" w:type="dxa"/>
            <w:tcBorders>
              <w:top w:val="single" w:sz="4" w:space="0" w:color="auto"/>
            </w:tcBorders>
            <w:vAlign w:val="center"/>
          </w:tcPr>
          <w:p w:rsidR="00BB68A1" w:rsidRPr="00A52252" w:rsidRDefault="00BB68A1" w:rsidP="00A52252">
            <w:pPr>
              <w:jc w:val="center"/>
              <w:rPr>
                <w:lang w:val="es-ES"/>
              </w:rPr>
            </w:pPr>
            <w:r w:rsidRPr="00A52252">
              <w:rPr>
                <w:lang w:val="es-ES"/>
              </w:rPr>
              <w:t>√n</w:t>
            </w:r>
          </w:p>
        </w:tc>
        <w:tc>
          <w:tcPr>
            <w:tcW w:w="426" w:type="dxa"/>
            <w:vMerge/>
          </w:tcPr>
          <w:p w:rsidR="00BB68A1" w:rsidRPr="00A52252" w:rsidRDefault="00BB68A1" w:rsidP="00A52252">
            <w:pPr>
              <w:rPr>
                <w:lang w:val="es-ES"/>
              </w:rPr>
            </w:pPr>
          </w:p>
        </w:tc>
        <w:tc>
          <w:tcPr>
            <w:tcW w:w="992" w:type="dxa"/>
            <w:tcBorders>
              <w:top w:val="single" w:sz="4" w:space="0" w:color="auto"/>
            </w:tcBorders>
            <w:vAlign w:val="center"/>
          </w:tcPr>
          <w:p w:rsidR="00BB68A1" w:rsidRPr="00A52252" w:rsidRDefault="00BB68A1" w:rsidP="00A52252">
            <w:pPr>
              <w:jc w:val="center"/>
              <w:rPr>
                <w:lang w:val="es-ES"/>
              </w:rPr>
            </w:pPr>
            <w:r w:rsidRPr="00A52252">
              <w:rPr>
                <w:lang w:val="es-ES"/>
              </w:rPr>
              <w:t>√n</w:t>
            </w:r>
          </w:p>
        </w:tc>
        <w:tc>
          <w:tcPr>
            <w:tcW w:w="3969" w:type="dxa"/>
          </w:tcPr>
          <w:p w:rsidR="00BB68A1" w:rsidRPr="00A52252" w:rsidRDefault="00BB68A1" w:rsidP="00A52252">
            <w:pPr>
              <w:rPr>
                <w:lang w:val="es-ES"/>
              </w:rPr>
            </w:pPr>
          </w:p>
        </w:tc>
      </w:tr>
    </w:tbl>
    <w:p w:rsidR="00BB68A1" w:rsidRPr="00376231" w:rsidRDefault="00BB68A1" w:rsidP="00BB68A1">
      <w:pPr>
        <w:rPr>
          <w:lang w:val="es-ES"/>
        </w:rPr>
      </w:pPr>
    </w:p>
    <w:tbl>
      <w:tblPr>
        <w:tblW w:w="11165" w:type="dxa"/>
        <w:tblLook w:val="04A0"/>
      </w:tblPr>
      <w:tblGrid>
        <w:gridCol w:w="4077"/>
        <w:gridCol w:w="709"/>
        <w:gridCol w:w="992"/>
        <w:gridCol w:w="426"/>
        <w:gridCol w:w="992"/>
        <w:gridCol w:w="3969"/>
      </w:tblGrid>
      <w:tr w:rsidR="00BB68A1" w:rsidRPr="00BB68A1" w:rsidTr="00BB68A1">
        <w:tc>
          <w:tcPr>
            <w:tcW w:w="4077" w:type="dxa"/>
            <w:vMerge w:val="restart"/>
            <w:vAlign w:val="center"/>
          </w:tcPr>
          <w:p w:rsidR="00BB68A1" w:rsidRPr="00BB68A1" w:rsidRDefault="00BB68A1" w:rsidP="00A52252">
            <w:pPr>
              <w:rPr>
                <w:lang w:val="es-ES"/>
              </w:rPr>
            </w:pPr>
            <w:r>
              <w:rPr>
                <w:lang w:val="es-ES"/>
              </w:rPr>
              <w:t>Así, r es significativo a un alfa de 0.05, si r &gt;</w:t>
            </w:r>
          </w:p>
        </w:tc>
        <w:tc>
          <w:tcPr>
            <w:tcW w:w="709" w:type="dxa"/>
            <w:vMerge w:val="restart"/>
            <w:vAlign w:val="center"/>
          </w:tcPr>
          <w:p w:rsidR="00BB68A1" w:rsidRPr="00BB68A1" w:rsidRDefault="00BB68A1" w:rsidP="00BB68A1">
            <w:pPr>
              <w:jc w:val="left"/>
              <w:rPr>
                <w:lang w:val="es-ES"/>
              </w:rPr>
            </w:pPr>
            <w:r>
              <w:rPr>
                <w:lang w:val="es-ES"/>
              </w:rPr>
              <w:t>1.96</w:t>
            </w:r>
          </w:p>
        </w:tc>
        <w:tc>
          <w:tcPr>
            <w:tcW w:w="992" w:type="dxa"/>
            <w:tcBorders>
              <w:bottom w:val="single" w:sz="4" w:space="0" w:color="auto"/>
            </w:tcBorders>
            <w:vAlign w:val="center"/>
          </w:tcPr>
          <w:p w:rsidR="00BB68A1" w:rsidRPr="00BB68A1" w:rsidRDefault="00BB68A1" w:rsidP="00BB68A1">
            <w:pPr>
              <w:jc w:val="center"/>
              <w:rPr>
                <w:lang w:val="es-ES"/>
              </w:rPr>
            </w:pPr>
            <w:r>
              <w:rPr>
                <w:lang w:val="es-ES"/>
              </w:rPr>
              <w:t>1</w:t>
            </w:r>
          </w:p>
        </w:tc>
        <w:tc>
          <w:tcPr>
            <w:tcW w:w="426" w:type="dxa"/>
            <w:vMerge w:val="restart"/>
            <w:vAlign w:val="center"/>
          </w:tcPr>
          <w:p w:rsidR="00BB68A1" w:rsidRPr="00BB68A1" w:rsidRDefault="00BB68A1" w:rsidP="00BB68A1">
            <w:pPr>
              <w:jc w:val="left"/>
              <w:rPr>
                <w:lang w:val="es-ES"/>
              </w:rPr>
            </w:pPr>
            <w:r w:rsidRPr="00BB68A1">
              <w:rPr>
                <w:lang w:val="es-ES"/>
              </w:rPr>
              <w:t>=</w:t>
            </w:r>
          </w:p>
        </w:tc>
        <w:tc>
          <w:tcPr>
            <w:tcW w:w="992" w:type="dxa"/>
            <w:tcBorders>
              <w:bottom w:val="single" w:sz="4" w:space="0" w:color="auto"/>
            </w:tcBorders>
            <w:vAlign w:val="center"/>
          </w:tcPr>
          <w:p w:rsidR="00BB68A1" w:rsidRPr="00BB68A1" w:rsidRDefault="00BB68A1" w:rsidP="00BB68A1">
            <w:pPr>
              <w:jc w:val="center"/>
              <w:rPr>
                <w:lang w:val="es-ES"/>
              </w:rPr>
            </w:pPr>
            <w:r w:rsidRPr="00BB68A1">
              <w:rPr>
                <w:lang w:val="es-ES"/>
              </w:rPr>
              <w:t>1</w:t>
            </w:r>
            <w:r>
              <w:rPr>
                <w:lang w:val="es-ES"/>
              </w:rPr>
              <w:t>.96</w:t>
            </w:r>
          </w:p>
        </w:tc>
        <w:tc>
          <w:tcPr>
            <w:tcW w:w="3969" w:type="dxa"/>
          </w:tcPr>
          <w:p w:rsidR="00BB68A1" w:rsidRPr="00BB68A1" w:rsidRDefault="00BB68A1" w:rsidP="00A52252">
            <w:pPr>
              <w:rPr>
                <w:lang w:val="es-ES"/>
              </w:rPr>
            </w:pPr>
          </w:p>
        </w:tc>
      </w:tr>
      <w:tr w:rsidR="00BB68A1" w:rsidRPr="00BB68A1" w:rsidTr="00BB68A1">
        <w:tc>
          <w:tcPr>
            <w:tcW w:w="4077" w:type="dxa"/>
            <w:vMerge/>
          </w:tcPr>
          <w:p w:rsidR="00BB68A1" w:rsidRPr="00BB68A1" w:rsidRDefault="00BB68A1" w:rsidP="00A52252">
            <w:pPr>
              <w:rPr>
                <w:lang w:val="es-ES"/>
              </w:rPr>
            </w:pPr>
          </w:p>
        </w:tc>
        <w:tc>
          <w:tcPr>
            <w:tcW w:w="709" w:type="dxa"/>
            <w:vMerge/>
          </w:tcPr>
          <w:p w:rsidR="00BB68A1" w:rsidRPr="00BB68A1" w:rsidRDefault="00BB68A1" w:rsidP="00A52252">
            <w:pPr>
              <w:rPr>
                <w:lang w:val="es-ES"/>
              </w:rPr>
            </w:pPr>
          </w:p>
        </w:tc>
        <w:tc>
          <w:tcPr>
            <w:tcW w:w="992" w:type="dxa"/>
            <w:tcBorders>
              <w:top w:val="single" w:sz="4" w:space="0" w:color="auto"/>
            </w:tcBorders>
            <w:vAlign w:val="center"/>
          </w:tcPr>
          <w:p w:rsidR="00BB68A1" w:rsidRPr="00BB68A1" w:rsidRDefault="00BB68A1" w:rsidP="00BB68A1">
            <w:pPr>
              <w:jc w:val="center"/>
              <w:rPr>
                <w:lang w:val="es-ES"/>
              </w:rPr>
            </w:pPr>
            <w:r w:rsidRPr="00BB68A1">
              <w:rPr>
                <w:lang w:val="es-ES"/>
              </w:rPr>
              <w:t>√n</w:t>
            </w:r>
          </w:p>
        </w:tc>
        <w:tc>
          <w:tcPr>
            <w:tcW w:w="426" w:type="dxa"/>
            <w:vMerge/>
          </w:tcPr>
          <w:p w:rsidR="00BB68A1" w:rsidRPr="00BB68A1" w:rsidRDefault="00BB68A1" w:rsidP="00A52252">
            <w:pPr>
              <w:rPr>
                <w:lang w:val="es-ES"/>
              </w:rPr>
            </w:pPr>
          </w:p>
        </w:tc>
        <w:tc>
          <w:tcPr>
            <w:tcW w:w="992" w:type="dxa"/>
            <w:tcBorders>
              <w:top w:val="single" w:sz="4" w:space="0" w:color="auto"/>
            </w:tcBorders>
            <w:vAlign w:val="center"/>
          </w:tcPr>
          <w:p w:rsidR="00BB68A1" w:rsidRPr="00BB68A1" w:rsidRDefault="00BB68A1" w:rsidP="00BB68A1">
            <w:pPr>
              <w:jc w:val="center"/>
              <w:rPr>
                <w:lang w:val="es-ES"/>
              </w:rPr>
            </w:pPr>
            <w:r w:rsidRPr="00BB68A1">
              <w:rPr>
                <w:lang w:val="es-ES"/>
              </w:rPr>
              <w:t>√n</w:t>
            </w:r>
          </w:p>
        </w:tc>
        <w:tc>
          <w:tcPr>
            <w:tcW w:w="3969" w:type="dxa"/>
          </w:tcPr>
          <w:p w:rsidR="00BB68A1" w:rsidRPr="00BB68A1" w:rsidRDefault="00BB68A1" w:rsidP="00A52252">
            <w:pPr>
              <w:rPr>
                <w:lang w:val="es-ES"/>
              </w:rPr>
            </w:pPr>
          </w:p>
        </w:tc>
      </w:tr>
    </w:tbl>
    <w:p w:rsidR="00F60B42" w:rsidRDefault="00F60B42" w:rsidP="00BB68A1">
      <w:pPr>
        <w:rPr>
          <w:lang w:val="es-ES"/>
        </w:rPr>
      </w:pPr>
    </w:p>
    <w:p w:rsidR="003E3B84" w:rsidRPr="00376231" w:rsidRDefault="003E3B84" w:rsidP="003E3B84">
      <w:pPr>
        <w:rPr>
          <w:b/>
          <w:shadow/>
          <w:sz w:val="28"/>
          <w:szCs w:val="28"/>
          <w:lang w:val="es-ES"/>
        </w:rPr>
      </w:pPr>
      <w:r>
        <w:rPr>
          <w:b/>
          <w:shadow/>
          <w:sz w:val="28"/>
          <w:szCs w:val="28"/>
          <w:lang w:val="es-ES"/>
        </w:rPr>
        <w:t>Interpretación</w:t>
      </w:r>
      <w:r w:rsidRPr="00376231">
        <w:rPr>
          <w:b/>
          <w:shadow/>
          <w:sz w:val="28"/>
          <w:szCs w:val="28"/>
          <w:lang w:val="es-ES"/>
        </w:rPr>
        <w:t xml:space="preserve"> del coeficiente:</w:t>
      </w:r>
    </w:p>
    <w:p w:rsidR="00E849CA" w:rsidRDefault="00E849CA" w:rsidP="00BB68A1">
      <w:pPr>
        <w:rPr>
          <w:lang w:val="es-ES"/>
        </w:rPr>
      </w:pPr>
    </w:p>
    <w:p w:rsidR="007B30C2" w:rsidRDefault="007B30C2" w:rsidP="00BB68A1">
      <w:pPr>
        <w:rPr>
          <w:lang w:val="es-ES"/>
        </w:rPr>
      </w:pPr>
      <w:r>
        <w:rPr>
          <w:lang w:val="es-ES"/>
        </w:rPr>
        <w:t>No hay consenso. Una propuesta común es la siguiente:</w:t>
      </w:r>
    </w:p>
    <w:p w:rsidR="007B30C2" w:rsidRDefault="007B30C2" w:rsidP="00BB68A1">
      <w:pPr>
        <w:rPr>
          <w:lang w:val="es-ES"/>
        </w:rPr>
      </w:pPr>
    </w:p>
    <w:tbl>
      <w:tblPr>
        <w:tblW w:w="0" w:type="auto"/>
        <w:tblLook w:val="04A0"/>
      </w:tblPr>
      <w:tblGrid>
        <w:gridCol w:w="1384"/>
        <w:gridCol w:w="9862"/>
      </w:tblGrid>
      <w:tr w:rsidR="007B30C2" w:rsidRPr="002D10BB" w:rsidTr="002D10BB">
        <w:tc>
          <w:tcPr>
            <w:tcW w:w="1384" w:type="dxa"/>
          </w:tcPr>
          <w:p w:rsidR="007B30C2" w:rsidRPr="002D10BB" w:rsidRDefault="007B30C2" w:rsidP="00BB68A1">
            <w:pPr>
              <w:rPr>
                <w:b/>
                <w:lang w:val="es-ES"/>
              </w:rPr>
            </w:pPr>
            <w:r w:rsidRPr="002D10BB">
              <w:rPr>
                <w:b/>
                <w:lang w:val="es-ES"/>
              </w:rPr>
              <w:t>Coeficiente</w:t>
            </w:r>
          </w:p>
        </w:tc>
        <w:tc>
          <w:tcPr>
            <w:tcW w:w="9862" w:type="dxa"/>
          </w:tcPr>
          <w:p w:rsidR="007B30C2" w:rsidRPr="002D10BB" w:rsidRDefault="007B30C2" w:rsidP="00BB68A1">
            <w:pPr>
              <w:rPr>
                <w:b/>
                <w:lang w:val="es-ES"/>
              </w:rPr>
            </w:pPr>
            <w:r w:rsidRPr="002D10BB">
              <w:rPr>
                <w:b/>
                <w:lang w:val="es-ES"/>
              </w:rPr>
              <w:t>Interpretación</w:t>
            </w:r>
          </w:p>
        </w:tc>
      </w:tr>
      <w:tr w:rsidR="007B30C2" w:rsidRPr="002D10BB" w:rsidTr="002D10BB">
        <w:tc>
          <w:tcPr>
            <w:tcW w:w="1384" w:type="dxa"/>
          </w:tcPr>
          <w:p w:rsidR="007B30C2" w:rsidRPr="002D10BB" w:rsidRDefault="007B30C2" w:rsidP="00BB68A1">
            <w:pPr>
              <w:rPr>
                <w:lang w:val="es-ES"/>
              </w:rPr>
            </w:pPr>
            <w:r w:rsidRPr="002D10BB">
              <w:rPr>
                <w:lang w:val="es-ES"/>
              </w:rPr>
              <w:t>0</w:t>
            </w:r>
          </w:p>
        </w:tc>
        <w:tc>
          <w:tcPr>
            <w:tcW w:w="9862" w:type="dxa"/>
          </w:tcPr>
          <w:p w:rsidR="007B30C2" w:rsidRPr="002D10BB" w:rsidRDefault="007B30C2" w:rsidP="00BB68A1">
            <w:pPr>
              <w:rPr>
                <w:lang w:val="es-ES"/>
              </w:rPr>
            </w:pPr>
            <w:r w:rsidRPr="002D10BB">
              <w:rPr>
                <w:lang w:val="es-ES"/>
              </w:rPr>
              <w:t>Nula</w:t>
            </w:r>
          </w:p>
        </w:tc>
      </w:tr>
      <w:tr w:rsidR="007B30C2" w:rsidRPr="002D10BB" w:rsidTr="002D10BB">
        <w:tc>
          <w:tcPr>
            <w:tcW w:w="1384" w:type="dxa"/>
          </w:tcPr>
          <w:p w:rsidR="007B30C2" w:rsidRPr="002D10BB" w:rsidRDefault="007B30C2" w:rsidP="00BB68A1">
            <w:pPr>
              <w:rPr>
                <w:lang w:val="es-ES"/>
              </w:rPr>
            </w:pPr>
            <w:r w:rsidRPr="002D10BB">
              <w:rPr>
                <w:lang w:val="es-ES"/>
              </w:rPr>
              <w:t>&gt;0.0 – 0.2</w:t>
            </w:r>
          </w:p>
        </w:tc>
        <w:tc>
          <w:tcPr>
            <w:tcW w:w="9862" w:type="dxa"/>
          </w:tcPr>
          <w:p w:rsidR="007B30C2" w:rsidRPr="002D10BB" w:rsidRDefault="007B30C2" w:rsidP="00BB68A1">
            <w:pPr>
              <w:rPr>
                <w:lang w:val="es-ES"/>
              </w:rPr>
            </w:pPr>
            <w:r w:rsidRPr="002D10BB">
              <w:rPr>
                <w:lang w:val="es-ES"/>
              </w:rPr>
              <w:t>Muy baja</w:t>
            </w:r>
          </w:p>
        </w:tc>
      </w:tr>
      <w:tr w:rsidR="007B30C2" w:rsidRPr="002D10BB" w:rsidTr="002D10BB">
        <w:tc>
          <w:tcPr>
            <w:tcW w:w="1384" w:type="dxa"/>
          </w:tcPr>
          <w:p w:rsidR="007B30C2" w:rsidRPr="002D10BB" w:rsidRDefault="00DE4D6B" w:rsidP="00BB68A1">
            <w:pPr>
              <w:rPr>
                <w:lang w:val="es-ES"/>
              </w:rPr>
            </w:pPr>
            <w:r>
              <w:rPr>
                <w:lang w:val="es-ES"/>
              </w:rPr>
              <w:t>&gt;</w:t>
            </w:r>
            <w:r w:rsidR="007B30C2" w:rsidRPr="002D10BB">
              <w:rPr>
                <w:lang w:val="es-ES"/>
              </w:rPr>
              <w:t>0.2 – 0.4</w:t>
            </w:r>
          </w:p>
        </w:tc>
        <w:tc>
          <w:tcPr>
            <w:tcW w:w="9862" w:type="dxa"/>
          </w:tcPr>
          <w:p w:rsidR="007B30C2" w:rsidRPr="002D10BB" w:rsidRDefault="007B30C2" w:rsidP="00BB68A1">
            <w:pPr>
              <w:rPr>
                <w:lang w:val="es-ES"/>
              </w:rPr>
            </w:pPr>
            <w:r w:rsidRPr="002D10BB">
              <w:rPr>
                <w:lang w:val="es-ES"/>
              </w:rPr>
              <w:t>Baja</w:t>
            </w:r>
          </w:p>
        </w:tc>
      </w:tr>
      <w:tr w:rsidR="007B30C2" w:rsidRPr="002D10BB" w:rsidTr="002D10BB">
        <w:tc>
          <w:tcPr>
            <w:tcW w:w="1384" w:type="dxa"/>
          </w:tcPr>
          <w:p w:rsidR="007B30C2" w:rsidRPr="002D10BB" w:rsidRDefault="00DE4D6B" w:rsidP="00BB68A1">
            <w:pPr>
              <w:rPr>
                <w:lang w:val="es-ES"/>
              </w:rPr>
            </w:pPr>
            <w:r>
              <w:rPr>
                <w:lang w:val="es-ES"/>
              </w:rPr>
              <w:t>&gt;</w:t>
            </w:r>
            <w:r w:rsidR="007B30C2" w:rsidRPr="002D10BB">
              <w:rPr>
                <w:lang w:val="es-ES"/>
              </w:rPr>
              <w:t>0.4 – 0.6</w:t>
            </w:r>
          </w:p>
        </w:tc>
        <w:tc>
          <w:tcPr>
            <w:tcW w:w="9862" w:type="dxa"/>
          </w:tcPr>
          <w:p w:rsidR="007B30C2" w:rsidRPr="002D10BB" w:rsidRDefault="007B30C2" w:rsidP="00BB68A1">
            <w:pPr>
              <w:rPr>
                <w:lang w:val="es-ES"/>
              </w:rPr>
            </w:pPr>
            <w:r w:rsidRPr="002D10BB">
              <w:rPr>
                <w:lang w:val="es-ES"/>
              </w:rPr>
              <w:t>Moderada</w:t>
            </w:r>
          </w:p>
        </w:tc>
      </w:tr>
      <w:tr w:rsidR="007B30C2" w:rsidRPr="002D10BB" w:rsidTr="002D10BB">
        <w:tc>
          <w:tcPr>
            <w:tcW w:w="1384" w:type="dxa"/>
          </w:tcPr>
          <w:p w:rsidR="007B30C2" w:rsidRPr="002D10BB" w:rsidRDefault="00DE4D6B" w:rsidP="00BB68A1">
            <w:pPr>
              <w:rPr>
                <w:lang w:val="es-ES"/>
              </w:rPr>
            </w:pPr>
            <w:r>
              <w:rPr>
                <w:lang w:val="es-ES"/>
              </w:rPr>
              <w:t>&gt;</w:t>
            </w:r>
            <w:r w:rsidR="007B30C2" w:rsidRPr="002D10BB">
              <w:rPr>
                <w:lang w:val="es-ES"/>
              </w:rPr>
              <w:t>0.6 – 0.8</w:t>
            </w:r>
          </w:p>
        </w:tc>
        <w:tc>
          <w:tcPr>
            <w:tcW w:w="9862" w:type="dxa"/>
          </w:tcPr>
          <w:p w:rsidR="007B30C2" w:rsidRPr="002D10BB" w:rsidRDefault="007B30C2" w:rsidP="00BB68A1">
            <w:pPr>
              <w:rPr>
                <w:lang w:val="es-ES"/>
              </w:rPr>
            </w:pPr>
            <w:r w:rsidRPr="002D10BB">
              <w:rPr>
                <w:lang w:val="es-ES"/>
              </w:rPr>
              <w:t>Alta</w:t>
            </w:r>
          </w:p>
        </w:tc>
      </w:tr>
      <w:tr w:rsidR="007B30C2" w:rsidRPr="002D10BB" w:rsidTr="002D10BB">
        <w:tc>
          <w:tcPr>
            <w:tcW w:w="1384" w:type="dxa"/>
          </w:tcPr>
          <w:p w:rsidR="007B30C2" w:rsidRPr="002D10BB" w:rsidRDefault="00DE4D6B" w:rsidP="00BB68A1">
            <w:pPr>
              <w:rPr>
                <w:lang w:val="es-ES"/>
              </w:rPr>
            </w:pPr>
            <w:r>
              <w:rPr>
                <w:lang w:val="es-ES"/>
              </w:rPr>
              <w:t>&gt;</w:t>
            </w:r>
            <w:r w:rsidR="007B30C2" w:rsidRPr="002D10BB">
              <w:rPr>
                <w:lang w:val="es-ES"/>
              </w:rPr>
              <w:t>0.8 – &lt;1.0</w:t>
            </w:r>
          </w:p>
        </w:tc>
        <w:tc>
          <w:tcPr>
            <w:tcW w:w="9862" w:type="dxa"/>
          </w:tcPr>
          <w:p w:rsidR="007B30C2" w:rsidRPr="002D10BB" w:rsidRDefault="007B30C2" w:rsidP="00BB68A1">
            <w:pPr>
              <w:rPr>
                <w:lang w:val="es-ES"/>
              </w:rPr>
            </w:pPr>
            <w:r w:rsidRPr="002D10BB">
              <w:rPr>
                <w:lang w:val="es-ES"/>
              </w:rPr>
              <w:t>Muy alta</w:t>
            </w:r>
          </w:p>
        </w:tc>
      </w:tr>
      <w:tr w:rsidR="007B30C2" w:rsidRPr="002D10BB" w:rsidTr="002D10BB">
        <w:tc>
          <w:tcPr>
            <w:tcW w:w="1384" w:type="dxa"/>
          </w:tcPr>
          <w:p w:rsidR="007B30C2" w:rsidRPr="002D10BB" w:rsidRDefault="007B30C2" w:rsidP="00BB68A1">
            <w:pPr>
              <w:rPr>
                <w:lang w:val="es-ES"/>
              </w:rPr>
            </w:pPr>
            <w:r w:rsidRPr="002D10BB">
              <w:rPr>
                <w:lang w:val="es-ES"/>
              </w:rPr>
              <w:t>1.0</w:t>
            </w:r>
          </w:p>
        </w:tc>
        <w:tc>
          <w:tcPr>
            <w:tcW w:w="9862" w:type="dxa"/>
          </w:tcPr>
          <w:p w:rsidR="007B30C2" w:rsidRPr="002D10BB" w:rsidRDefault="007B30C2" w:rsidP="00BB68A1">
            <w:pPr>
              <w:rPr>
                <w:lang w:val="es-ES"/>
              </w:rPr>
            </w:pPr>
            <w:r w:rsidRPr="002D10BB">
              <w:rPr>
                <w:lang w:val="es-ES"/>
              </w:rPr>
              <w:t>Perfecta</w:t>
            </w:r>
          </w:p>
        </w:tc>
      </w:tr>
    </w:tbl>
    <w:p w:rsidR="007B30C2" w:rsidRDefault="007B30C2" w:rsidP="00BB68A1">
      <w:pPr>
        <w:rPr>
          <w:lang w:val="es-ES"/>
        </w:rPr>
      </w:pPr>
    </w:p>
    <w:p w:rsidR="00512BD8" w:rsidRDefault="0037515E" w:rsidP="00BB68A1">
      <w:pPr>
        <w:rPr>
          <w:lang w:val="es-ES"/>
        </w:rPr>
      </w:pPr>
      <w:r>
        <w:rPr>
          <w:lang w:val="es-ES"/>
        </w:rPr>
        <w:t>Realmente, s</w:t>
      </w:r>
      <w:r w:rsidR="00512BD8">
        <w:rPr>
          <w:lang w:val="es-ES"/>
        </w:rPr>
        <w:t xml:space="preserve">i este coeficiente es satisfactorio </w:t>
      </w:r>
      <w:r w:rsidR="00F60B42">
        <w:rPr>
          <w:lang w:val="es-ES"/>
        </w:rPr>
        <w:t xml:space="preserve">o no </w:t>
      </w:r>
      <w:r w:rsidR="00E849CA">
        <w:rPr>
          <w:lang w:val="es-ES"/>
        </w:rPr>
        <w:t>depende del contexto. Ejemplo, los tres casos siguientes:</w:t>
      </w:r>
    </w:p>
    <w:p w:rsidR="00E849CA" w:rsidRDefault="00E849CA" w:rsidP="00E849CA">
      <w:pPr>
        <w:numPr>
          <w:ilvl w:val="0"/>
          <w:numId w:val="14"/>
        </w:numPr>
        <w:rPr>
          <w:lang w:val="es-ES"/>
        </w:rPr>
      </w:pPr>
      <w:r>
        <w:rPr>
          <w:lang w:val="es-ES"/>
        </w:rPr>
        <w:t>Se encuentra una correlación de +0.65 entre la edad de hombres y mujeres que contraen matrimonio.</w:t>
      </w:r>
    </w:p>
    <w:p w:rsidR="00E849CA" w:rsidRDefault="00E849CA" w:rsidP="00E849CA">
      <w:pPr>
        <w:numPr>
          <w:ilvl w:val="0"/>
          <w:numId w:val="14"/>
        </w:numPr>
        <w:rPr>
          <w:lang w:val="es-ES"/>
        </w:rPr>
      </w:pPr>
      <w:r>
        <w:rPr>
          <w:lang w:val="es-ES"/>
        </w:rPr>
        <w:t>Se diseña una prueba matemática, pero la critican porque requiere la lectura del planteamiento del problema y esto puede favorecer a las personas con mayor habilidad verbal. Para evaluar esto, se realiza la prueba conjuntamente con otra de habilidad verbal; el coeficiente de correlación entre ambas es cercano a cero.</w:t>
      </w:r>
    </w:p>
    <w:p w:rsidR="00E849CA" w:rsidRDefault="00E849CA" w:rsidP="00E849CA">
      <w:pPr>
        <w:numPr>
          <w:ilvl w:val="0"/>
          <w:numId w:val="14"/>
        </w:numPr>
        <w:rPr>
          <w:lang w:val="es-ES"/>
        </w:rPr>
      </w:pPr>
      <w:r>
        <w:rPr>
          <w:lang w:val="es-ES"/>
        </w:rPr>
        <w:t xml:space="preserve">Se propone un nuevo método para medir el porcentaje graso en personas obesas. Se toman dos medidas con el nuevo método y con el antiguo. El coeficiente de correlación entre las dos medidas es +0.92 </w:t>
      </w:r>
      <w:r w:rsidR="004D0093">
        <w:rPr>
          <w:lang w:val="es-ES"/>
        </w:rPr>
        <w:t>co</w:t>
      </w:r>
      <w:r>
        <w:rPr>
          <w:lang w:val="es-ES"/>
        </w:rPr>
        <w:t xml:space="preserve">n el nuevo y +0.98 </w:t>
      </w:r>
      <w:r w:rsidR="004D0093">
        <w:rPr>
          <w:lang w:val="es-ES"/>
        </w:rPr>
        <w:t>co</w:t>
      </w:r>
      <w:r>
        <w:rPr>
          <w:lang w:val="es-ES"/>
        </w:rPr>
        <w:t>n el antiguo.</w:t>
      </w:r>
    </w:p>
    <w:p w:rsidR="00E849CA" w:rsidRDefault="00E849CA" w:rsidP="00E849CA">
      <w:pPr>
        <w:rPr>
          <w:lang w:val="es-ES"/>
        </w:rPr>
      </w:pPr>
      <w:r>
        <w:rPr>
          <w:lang w:val="es-ES"/>
        </w:rPr>
        <w:t>En el primer caso es irrelevante considerar si es satisfactoria o no la correlación obtenida: es simplemente un hecho.</w:t>
      </w:r>
      <w:r w:rsidR="0054427F">
        <w:rPr>
          <w:lang w:val="es-ES"/>
        </w:rPr>
        <w:t xml:space="preserve"> En el segundo</w:t>
      </w:r>
      <w:r w:rsidR="00EB7389">
        <w:rPr>
          <w:lang w:val="es-ES"/>
        </w:rPr>
        <w:t>,</w:t>
      </w:r>
      <w:r w:rsidR="0054427F">
        <w:rPr>
          <w:lang w:val="es-ES"/>
        </w:rPr>
        <w:t xml:space="preserve"> la ausencia de correlación es satisfactoria porque indica que la prueba matemática no está sesgada por la habilidad verbal. En el último, el coeficiente de correlación con el nuevo método es insatisfactorio porque el antiguo era más confiable.</w:t>
      </w:r>
    </w:p>
    <w:p w:rsidR="000F7248" w:rsidRDefault="000F7248" w:rsidP="00E849CA">
      <w:pPr>
        <w:rPr>
          <w:lang w:val="es-ES"/>
        </w:rPr>
      </w:pPr>
    </w:p>
    <w:p w:rsidR="002E43AD" w:rsidRDefault="002E43AD" w:rsidP="00E849CA">
      <w:pPr>
        <w:rPr>
          <w:lang w:val="es-ES"/>
        </w:rPr>
      </w:pPr>
      <w:r>
        <w:rPr>
          <w:lang w:val="es-ES"/>
        </w:rPr>
        <w:t>Finalmente, se acepta que el cuadrado del coeficiente de correlación indica cuánta variación en una variable puede explicarse por la variación de la otra. Por ejemplo, si la estatura de padre</w:t>
      </w:r>
      <w:r w:rsidR="0099225C">
        <w:rPr>
          <w:lang w:val="es-ES"/>
        </w:rPr>
        <w:t>s</w:t>
      </w:r>
      <w:r>
        <w:rPr>
          <w:lang w:val="es-ES"/>
        </w:rPr>
        <w:t xml:space="preserve"> e hijos</w:t>
      </w:r>
      <w:r w:rsidR="0099225C">
        <w:rPr>
          <w:lang w:val="es-ES"/>
        </w:rPr>
        <w:t xml:space="preserve"> tiene un r de 0.8, entonces: 0.8</w:t>
      </w:r>
      <w:r w:rsidR="0099225C" w:rsidRPr="0099225C">
        <w:rPr>
          <w:vertAlign w:val="superscript"/>
          <w:lang w:val="es-ES"/>
        </w:rPr>
        <w:t>2</w:t>
      </w:r>
      <w:r w:rsidR="0099225C">
        <w:rPr>
          <w:lang w:val="es-ES"/>
        </w:rPr>
        <w:t xml:space="preserve"> = 64, o sea, el 64% de la variación de la talla de los hijos puede explicarse por la variación de la talla de los padres, y el 36% </w:t>
      </w:r>
      <w:r w:rsidR="004D0093">
        <w:rPr>
          <w:lang w:val="es-ES"/>
        </w:rPr>
        <w:t>po</w:t>
      </w:r>
      <w:r w:rsidR="00EB7389">
        <w:rPr>
          <w:lang w:val="es-ES"/>
        </w:rPr>
        <w:t>r</w:t>
      </w:r>
      <w:r w:rsidR="0099225C">
        <w:rPr>
          <w:lang w:val="es-ES"/>
        </w:rPr>
        <w:t xml:space="preserve"> otros factores.</w:t>
      </w:r>
    </w:p>
    <w:sectPr w:rsidR="002E43AD" w:rsidSect="00032AC5">
      <w:footerReference w:type="default" r:id="rId13"/>
      <w:pgSz w:w="12240" w:h="15840" w:code="1"/>
      <w:pgMar w:top="567" w:right="567" w:bottom="851" w:left="567"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6DC1" w:rsidRDefault="00A66DC1" w:rsidP="00481ACC">
      <w:r>
        <w:separator/>
      </w:r>
    </w:p>
  </w:endnote>
  <w:endnote w:type="continuationSeparator" w:id="0">
    <w:p w:rsidR="00A66DC1" w:rsidRDefault="00A66DC1" w:rsidP="00481AC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ACC" w:rsidRDefault="00F6333F">
    <w:pPr>
      <w:pStyle w:val="Piedepgina"/>
      <w:jc w:val="center"/>
    </w:pPr>
    <w:fldSimple w:instr=" PAGE   \* MERGEFORMAT ">
      <w:r w:rsidR="003511FF">
        <w:rPr>
          <w:noProof/>
        </w:rPr>
        <w:t>1</w:t>
      </w:r>
    </w:fldSimple>
  </w:p>
  <w:p w:rsidR="00481ACC" w:rsidRDefault="00481AC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6DC1" w:rsidRDefault="00A66DC1" w:rsidP="00481ACC">
      <w:r>
        <w:separator/>
      </w:r>
    </w:p>
  </w:footnote>
  <w:footnote w:type="continuationSeparator" w:id="0">
    <w:p w:rsidR="00A66DC1" w:rsidRDefault="00A66DC1" w:rsidP="00481A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66FE0"/>
    <w:multiLevelType w:val="hybridMultilevel"/>
    <w:tmpl w:val="6354033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nsid w:val="23442F2F"/>
    <w:multiLevelType w:val="hybridMultilevel"/>
    <w:tmpl w:val="CD32A7B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nsid w:val="245D320E"/>
    <w:multiLevelType w:val="hybridMultilevel"/>
    <w:tmpl w:val="FD460FE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nsid w:val="33F03E2E"/>
    <w:multiLevelType w:val="hybridMultilevel"/>
    <w:tmpl w:val="5562FD7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36C722A4"/>
    <w:multiLevelType w:val="hybridMultilevel"/>
    <w:tmpl w:val="3D7AC6A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nsid w:val="4B7509B8"/>
    <w:multiLevelType w:val="hybridMultilevel"/>
    <w:tmpl w:val="0EBCBA9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nsid w:val="4FC20598"/>
    <w:multiLevelType w:val="hybridMultilevel"/>
    <w:tmpl w:val="8BF23686"/>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nsid w:val="51FD0BAE"/>
    <w:multiLevelType w:val="hybridMultilevel"/>
    <w:tmpl w:val="A16EA71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nsid w:val="5DE15590"/>
    <w:multiLevelType w:val="hybridMultilevel"/>
    <w:tmpl w:val="8E9EE886"/>
    <w:lvl w:ilvl="0" w:tplc="1C1823B8">
      <w:start w:val="1"/>
      <w:numFmt w:val="decimal"/>
      <w:lvlText w:val="(%1)"/>
      <w:lvlJc w:val="left"/>
      <w:pPr>
        <w:ind w:left="420" w:hanging="36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9">
    <w:nsid w:val="5F1F7129"/>
    <w:multiLevelType w:val="hybridMultilevel"/>
    <w:tmpl w:val="0DF4A5B4"/>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nsid w:val="6F351660"/>
    <w:multiLevelType w:val="hybridMultilevel"/>
    <w:tmpl w:val="392CC15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nsid w:val="76AE4291"/>
    <w:multiLevelType w:val="hybridMultilevel"/>
    <w:tmpl w:val="0B30A22C"/>
    <w:lvl w:ilvl="0" w:tplc="240A000F">
      <w:start w:val="1"/>
      <w:numFmt w:val="decimal"/>
      <w:lvlText w:val="%1."/>
      <w:lvlJc w:val="left"/>
      <w:pPr>
        <w:ind w:left="360" w:hanging="360"/>
      </w:pPr>
      <w:rPr>
        <w:rFont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nsid w:val="7C702394"/>
    <w:multiLevelType w:val="hybridMultilevel"/>
    <w:tmpl w:val="D51E811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nsid w:val="7DCC6172"/>
    <w:multiLevelType w:val="hybridMultilevel"/>
    <w:tmpl w:val="46EC4AC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6"/>
  </w:num>
  <w:num w:numId="2">
    <w:abstractNumId w:val="9"/>
  </w:num>
  <w:num w:numId="3">
    <w:abstractNumId w:val="3"/>
  </w:num>
  <w:num w:numId="4">
    <w:abstractNumId w:val="0"/>
  </w:num>
  <w:num w:numId="5">
    <w:abstractNumId w:val="2"/>
  </w:num>
  <w:num w:numId="6">
    <w:abstractNumId w:val="12"/>
  </w:num>
  <w:num w:numId="7">
    <w:abstractNumId w:val="8"/>
  </w:num>
  <w:num w:numId="8">
    <w:abstractNumId w:val="5"/>
  </w:num>
  <w:num w:numId="9">
    <w:abstractNumId w:val="1"/>
  </w:num>
  <w:num w:numId="10">
    <w:abstractNumId w:val="4"/>
  </w:num>
  <w:num w:numId="11">
    <w:abstractNumId w:val="10"/>
  </w:num>
  <w:num w:numId="12">
    <w:abstractNumId w:val="7"/>
  </w:num>
  <w:num w:numId="13">
    <w:abstractNumId w:val="13"/>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E66ADB"/>
    <w:rsid w:val="00007E9A"/>
    <w:rsid w:val="00010424"/>
    <w:rsid w:val="000138BF"/>
    <w:rsid w:val="000206B2"/>
    <w:rsid w:val="00030FCD"/>
    <w:rsid w:val="00032AC5"/>
    <w:rsid w:val="00034F53"/>
    <w:rsid w:val="0003782D"/>
    <w:rsid w:val="000464BE"/>
    <w:rsid w:val="00046533"/>
    <w:rsid w:val="0004750E"/>
    <w:rsid w:val="000562E8"/>
    <w:rsid w:val="000C0135"/>
    <w:rsid w:val="000C0B4C"/>
    <w:rsid w:val="000C2C6A"/>
    <w:rsid w:val="000C5874"/>
    <w:rsid w:val="000C673F"/>
    <w:rsid w:val="000D4188"/>
    <w:rsid w:val="000D5F77"/>
    <w:rsid w:val="000D6474"/>
    <w:rsid w:val="000D6E5C"/>
    <w:rsid w:val="000D73A7"/>
    <w:rsid w:val="000F1BA8"/>
    <w:rsid w:val="000F21E9"/>
    <w:rsid w:val="000F7248"/>
    <w:rsid w:val="000F73DF"/>
    <w:rsid w:val="001222F3"/>
    <w:rsid w:val="0012559F"/>
    <w:rsid w:val="00131EA5"/>
    <w:rsid w:val="00137948"/>
    <w:rsid w:val="00137F49"/>
    <w:rsid w:val="00140B6C"/>
    <w:rsid w:val="00140DC0"/>
    <w:rsid w:val="00140EF3"/>
    <w:rsid w:val="00142E21"/>
    <w:rsid w:val="001603D2"/>
    <w:rsid w:val="00177CF8"/>
    <w:rsid w:val="001877E8"/>
    <w:rsid w:val="00194F93"/>
    <w:rsid w:val="001A31E7"/>
    <w:rsid w:val="001B0414"/>
    <w:rsid w:val="001B516E"/>
    <w:rsid w:val="001D5AE8"/>
    <w:rsid w:val="001D61A7"/>
    <w:rsid w:val="00202B68"/>
    <w:rsid w:val="0023419E"/>
    <w:rsid w:val="00243032"/>
    <w:rsid w:val="00253B17"/>
    <w:rsid w:val="0025778F"/>
    <w:rsid w:val="00260117"/>
    <w:rsid w:val="00260B4F"/>
    <w:rsid w:val="0026171D"/>
    <w:rsid w:val="00281EB8"/>
    <w:rsid w:val="00282071"/>
    <w:rsid w:val="002830D5"/>
    <w:rsid w:val="00286D0A"/>
    <w:rsid w:val="00291000"/>
    <w:rsid w:val="00295EF5"/>
    <w:rsid w:val="002B0E4A"/>
    <w:rsid w:val="002B14BB"/>
    <w:rsid w:val="002B69C7"/>
    <w:rsid w:val="002D10BB"/>
    <w:rsid w:val="002D3B35"/>
    <w:rsid w:val="002E43AD"/>
    <w:rsid w:val="002E4F3C"/>
    <w:rsid w:val="002E5F1F"/>
    <w:rsid w:val="002E6179"/>
    <w:rsid w:val="0030645F"/>
    <w:rsid w:val="00314CDC"/>
    <w:rsid w:val="00322E3E"/>
    <w:rsid w:val="003301DD"/>
    <w:rsid w:val="003371E7"/>
    <w:rsid w:val="003377FA"/>
    <w:rsid w:val="003511FF"/>
    <w:rsid w:val="00360C02"/>
    <w:rsid w:val="00365E0E"/>
    <w:rsid w:val="00366F50"/>
    <w:rsid w:val="00374D96"/>
    <w:rsid w:val="0037515E"/>
    <w:rsid w:val="00376231"/>
    <w:rsid w:val="00381837"/>
    <w:rsid w:val="00382A3D"/>
    <w:rsid w:val="0039364C"/>
    <w:rsid w:val="003976B6"/>
    <w:rsid w:val="003A2DBC"/>
    <w:rsid w:val="003A6974"/>
    <w:rsid w:val="003C62F7"/>
    <w:rsid w:val="003C73AF"/>
    <w:rsid w:val="003D129D"/>
    <w:rsid w:val="003D2FD1"/>
    <w:rsid w:val="003D5865"/>
    <w:rsid w:val="003E15C2"/>
    <w:rsid w:val="003E3B84"/>
    <w:rsid w:val="00405DC7"/>
    <w:rsid w:val="00420501"/>
    <w:rsid w:val="00425868"/>
    <w:rsid w:val="00442689"/>
    <w:rsid w:val="00446A91"/>
    <w:rsid w:val="00451FC1"/>
    <w:rsid w:val="004525E5"/>
    <w:rsid w:val="0045759E"/>
    <w:rsid w:val="004629B8"/>
    <w:rsid w:val="00464851"/>
    <w:rsid w:val="0047052C"/>
    <w:rsid w:val="004756CF"/>
    <w:rsid w:val="00481ACC"/>
    <w:rsid w:val="004828A5"/>
    <w:rsid w:val="00491AB9"/>
    <w:rsid w:val="004A2E8B"/>
    <w:rsid w:val="004A48E5"/>
    <w:rsid w:val="004B2CD7"/>
    <w:rsid w:val="004B78FD"/>
    <w:rsid w:val="004C3187"/>
    <w:rsid w:val="004D0093"/>
    <w:rsid w:val="004D2A5C"/>
    <w:rsid w:val="004D2F57"/>
    <w:rsid w:val="004D4CE1"/>
    <w:rsid w:val="004E19E0"/>
    <w:rsid w:val="004E4073"/>
    <w:rsid w:val="004E63F0"/>
    <w:rsid w:val="004F17A8"/>
    <w:rsid w:val="004F183C"/>
    <w:rsid w:val="0050191A"/>
    <w:rsid w:val="00507B96"/>
    <w:rsid w:val="00512BD8"/>
    <w:rsid w:val="00521627"/>
    <w:rsid w:val="0052714D"/>
    <w:rsid w:val="0054427F"/>
    <w:rsid w:val="00566A15"/>
    <w:rsid w:val="00567185"/>
    <w:rsid w:val="0057296E"/>
    <w:rsid w:val="00574F9B"/>
    <w:rsid w:val="005773F8"/>
    <w:rsid w:val="00580DF6"/>
    <w:rsid w:val="00584054"/>
    <w:rsid w:val="00592780"/>
    <w:rsid w:val="005A0AD3"/>
    <w:rsid w:val="005A488D"/>
    <w:rsid w:val="005A799F"/>
    <w:rsid w:val="005C6C1F"/>
    <w:rsid w:val="005E5C81"/>
    <w:rsid w:val="005F0DAE"/>
    <w:rsid w:val="005F20B2"/>
    <w:rsid w:val="005F5D11"/>
    <w:rsid w:val="0061365C"/>
    <w:rsid w:val="00633781"/>
    <w:rsid w:val="0064469A"/>
    <w:rsid w:val="00652415"/>
    <w:rsid w:val="00657DF3"/>
    <w:rsid w:val="0068064D"/>
    <w:rsid w:val="006816AE"/>
    <w:rsid w:val="00683E0B"/>
    <w:rsid w:val="006854A1"/>
    <w:rsid w:val="0068731A"/>
    <w:rsid w:val="0069113A"/>
    <w:rsid w:val="00694BF8"/>
    <w:rsid w:val="0069798C"/>
    <w:rsid w:val="006C7F5A"/>
    <w:rsid w:val="006D0BC7"/>
    <w:rsid w:val="006D4467"/>
    <w:rsid w:val="006E6348"/>
    <w:rsid w:val="006E6751"/>
    <w:rsid w:val="006F1E20"/>
    <w:rsid w:val="00705E09"/>
    <w:rsid w:val="0071312B"/>
    <w:rsid w:val="007132A5"/>
    <w:rsid w:val="00722292"/>
    <w:rsid w:val="00724552"/>
    <w:rsid w:val="00741EDD"/>
    <w:rsid w:val="00746743"/>
    <w:rsid w:val="00772440"/>
    <w:rsid w:val="007727DD"/>
    <w:rsid w:val="0078213A"/>
    <w:rsid w:val="007A0A76"/>
    <w:rsid w:val="007A1386"/>
    <w:rsid w:val="007A74B4"/>
    <w:rsid w:val="007B30C2"/>
    <w:rsid w:val="007B3D07"/>
    <w:rsid w:val="007C231D"/>
    <w:rsid w:val="007D2993"/>
    <w:rsid w:val="007D41F6"/>
    <w:rsid w:val="007E45DA"/>
    <w:rsid w:val="007E7811"/>
    <w:rsid w:val="007E7FB2"/>
    <w:rsid w:val="007F1974"/>
    <w:rsid w:val="007F538D"/>
    <w:rsid w:val="00803329"/>
    <w:rsid w:val="00806804"/>
    <w:rsid w:val="008073F2"/>
    <w:rsid w:val="00820CBC"/>
    <w:rsid w:val="008219BF"/>
    <w:rsid w:val="00823B73"/>
    <w:rsid w:val="00833043"/>
    <w:rsid w:val="00835415"/>
    <w:rsid w:val="008358C2"/>
    <w:rsid w:val="00837BED"/>
    <w:rsid w:val="00856B26"/>
    <w:rsid w:val="008615FD"/>
    <w:rsid w:val="00864804"/>
    <w:rsid w:val="00870F6E"/>
    <w:rsid w:val="008B1B23"/>
    <w:rsid w:val="008B3910"/>
    <w:rsid w:val="008B49A6"/>
    <w:rsid w:val="008B5235"/>
    <w:rsid w:val="008C750D"/>
    <w:rsid w:val="008D7EA7"/>
    <w:rsid w:val="008F2A90"/>
    <w:rsid w:val="008F46EF"/>
    <w:rsid w:val="008F6361"/>
    <w:rsid w:val="00917E3C"/>
    <w:rsid w:val="009349B9"/>
    <w:rsid w:val="009444DF"/>
    <w:rsid w:val="009625C9"/>
    <w:rsid w:val="00975DDA"/>
    <w:rsid w:val="00981101"/>
    <w:rsid w:val="00983282"/>
    <w:rsid w:val="009867ED"/>
    <w:rsid w:val="0099225C"/>
    <w:rsid w:val="0099421D"/>
    <w:rsid w:val="00997B58"/>
    <w:rsid w:val="009A7F11"/>
    <w:rsid w:val="009B7066"/>
    <w:rsid w:val="009D3F99"/>
    <w:rsid w:val="009E0BB0"/>
    <w:rsid w:val="009F4FF9"/>
    <w:rsid w:val="00A063B5"/>
    <w:rsid w:val="00A1054A"/>
    <w:rsid w:val="00A13E06"/>
    <w:rsid w:val="00A15FE6"/>
    <w:rsid w:val="00A27411"/>
    <w:rsid w:val="00A324D1"/>
    <w:rsid w:val="00A3725A"/>
    <w:rsid w:val="00A41449"/>
    <w:rsid w:val="00A43A53"/>
    <w:rsid w:val="00A441DC"/>
    <w:rsid w:val="00A476A6"/>
    <w:rsid w:val="00A52252"/>
    <w:rsid w:val="00A52C3E"/>
    <w:rsid w:val="00A66DC1"/>
    <w:rsid w:val="00A70B7A"/>
    <w:rsid w:val="00A77A71"/>
    <w:rsid w:val="00A8782D"/>
    <w:rsid w:val="00A93487"/>
    <w:rsid w:val="00A9366E"/>
    <w:rsid w:val="00AA6372"/>
    <w:rsid w:val="00AB3A1A"/>
    <w:rsid w:val="00AC2AAC"/>
    <w:rsid w:val="00AC7FD5"/>
    <w:rsid w:val="00AE0329"/>
    <w:rsid w:val="00AE176E"/>
    <w:rsid w:val="00AE789C"/>
    <w:rsid w:val="00B02BE1"/>
    <w:rsid w:val="00B10E27"/>
    <w:rsid w:val="00B22412"/>
    <w:rsid w:val="00B22685"/>
    <w:rsid w:val="00B27DA6"/>
    <w:rsid w:val="00B32DA0"/>
    <w:rsid w:val="00B34174"/>
    <w:rsid w:val="00B371B6"/>
    <w:rsid w:val="00B404A5"/>
    <w:rsid w:val="00B476B9"/>
    <w:rsid w:val="00B726A3"/>
    <w:rsid w:val="00B72940"/>
    <w:rsid w:val="00B741D9"/>
    <w:rsid w:val="00B752EE"/>
    <w:rsid w:val="00B90377"/>
    <w:rsid w:val="00BB00B6"/>
    <w:rsid w:val="00BB68A1"/>
    <w:rsid w:val="00BC4282"/>
    <w:rsid w:val="00BD206E"/>
    <w:rsid w:val="00BF0B45"/>
    <w:rsid w:val="00BF2F26"/>
    <w:rsid w:val="00C02EA8"/>
    <w:rsid w:val="00C34D3F"/>
    <w:rsid w:val="00C35059"/>
    <w:rsid w:val="00C35A59"/>
    <w:rsid w:val="00C36C16"/>
    <w:rsid w:val="00C4347B"/>
    <w:rsid w:val="00C43D07"/>
    <w:rsid w:val="00C80573"/>
    <w:rsid w:val="00C80E3F"/>
    <w:rsid w:val="00C8188C"/>
    <w:rsid w:val="00C90936"/>
    <w:rsid w:val="00C92051"/>
    <w:rsid w:val="00CB1E3F"/>
    <w:rsid w:val="00CB2FD1"/>
    <w:rsid w:val="00CB484E"/>
    <w:rsid w:val="00CC47C9"/>
    <w:rsid w:val="00CD525D"/>
    <w:rsid w:val="00CE0902"/>
    <w:rsid w:val="00CE23BC"/>
    <w:rsid w:val="00CE5FD3"/>
    <w:rsid w:val="00CE7447"/>
    <w:rsid w:val="00CF0380"/>
    <w:rsid w:val="00CF1A6A"/>
    <w:rsid w:val="00CF5B46"/>
    <w:rsid w:val="00D10918"/>
    <w:rsid w:val="00D11C2D"/>
    <w:rsid w:val="00D14295"/>
    <w:rsid w:val="00D228DB"/>
    <w:rsid w:val="00D2301B"/>
    <w:rsid w:val="00D45F00"/>
    <w:rsid w:val="00D467B3"/>
    <w:rsid w:val="00D6445E"/>
    <w:rsid w:val="00D72CC5"/>
    <w:rsid w:val="00D81956"/>
    <w:rsid w:val="00D8361A"/>
    <w:rsid w:val="00D86666"/>
    <w:rsid w:val="00D86739"/>
    <w:rsid w:val="00D90BE9"/>
    <w:rsid w:val="00D972F8"/>
    <w:rsid w:val="00DA5BAC"/>
    <w:rsid w:val="00DB14BE"/>
    <w:rsid w:val="00DB26DE"/>
    <w:rsid w:val="00DC4B43"/>
    <w:rsid w:val="00DD3297"/>
    <w:rsid w:val="00DE21FC"/>
    <w:rsid w:val="00DE4D6B"/>
    <w:rsid w:val="00DF286C"/>
    <w:rsid w:val="00DF468A"/>
    <w:rsid w:val="00E055A0"/>
    <w:rsid w:val="00E16642"/>
    <w:rsid w:val="00E24226"/>
    <w:rsid w:val="00E2616A"/>
    <w:rsid w:val="00E32241"/>
    <w:rsid w:val="00E4615A"/>
    <w:rsid w:val="00E47472"/>
    <w:rsid w:val="00E60A2A"/>
    <w:rsid w:val="00E64C15"/>
    <w:rsid w:val="00E6565F"/>
    <w:rsid w:val="00E66ADB"/>
    <w:rsid w:val="00E71D23"/>
    <w:rsid w:val="00E849CA"/>
    <w:rsid w:val="00E85B50"/>
    <w:rsid w:val="00E93E6F"/>
    <w:rsid w:val="00EA2039"/>
    <w:rsid w:val="00EA4E54"/>
    <w:rsid w:val="00EA5C21"/>
    <w:rsid w:val="00EB7389"/>
    <w:rsid w:val="00ED0B8C"/>
    <w:rsid w:val="00ED33BB"/>
    <w:rsid w:val="00ED4C98"/>
    <w:rsid w:val="00ED728D"/>
    <w:rsid w:val="00EF084D"/>
    <w:rsid w:val="00EF595B"/>
    <w:rsid w:val="00EF5972"/>
    <w:rsid w:val="00F00ED1"/>
    <w:rsid w:val="00F401DC"/>
    <w:rsid w:val="00F51B68"/>
    <w:rsid w:val="00F52E26"/>
    <w:rsid w:val="00F60B42"/>
    <w:rsid w:val="00F614D0"/>
    <w:rsid w:val="00F6333F"/>
    <w:rsid w:val="00F66CFD"/>
    <w:rsid w:val="00F74134"/>
    <w:rsid w:val="00F74C08"/>
    <w:rsid w:val="00F82FBF"/>
    <w:rsid w:val="00F8519B"/>
    <w:rsid w:val="00F86660"/>
    <w:rsid w:val="00F86E1B"/>
    <w:rsid w:val="00FB25E3"/>
    <w:rsid w:val="00FB3657"/>
    <w:rsid w:val="00FC0605"/>
    <w:rsid w:val="00FC0AF3"/>
    <w:rsid w:val="00FC2E1B"/>
    <w:rsid w:val="00FC45C3"/>
    <w:rsid w:val="00FD425A"/>
    <w:rsid w:val="00FD75FE"/>
    <w:rsid w:val="00FF7A82"/>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Calibri" w:hAnsi="Arial Narrow"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4DF"/>
    <w:pPr>
      <w:jc w:val="both"/>
    </w:pPr>
    <w:rPr>
      <w:sz w:val="24"/>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8666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481ACC"/>
    <w:pPr>
      <w:tabs>
        <w:tab w:val="center" w:pos="4419"/>
        <w:tab w:val="right" w:pos="8838"/>
      </w:tabs>
    </w:pPr>
  </w:style>
  <w:style w:type="character" w:customStyle="1" w:styleId="EncabezadoCar">
    <w:name w:val="Encabezado Car"/>
    <w:basedOn w:val="Fuentedeprrafopredeter"/>
    <w:link w:val="Encabezado"/>
    <w:uiPriority w:val="99"/>
    <w:semiHidden/>
    <w:rsid w:val="00481ACC"/>
    <w:rPr>
      <w:sz w:val="24"/>
      <w:szCs w:val="22"/>
      <w:lang w:eastAsia="en-US"/>
    </w:rPr>
  </w:style>
  <w:style w:type="paragraph" w:styleId="Piedepgina">
    <w:name w:val="footer"/>
    <w:basedOn w:val="Normal"/>
    <w:link w:val="PiedepginaCar"/>
    <w:uiPriority w:val="99"/>
    <w:unhideWhenUsed/>
    <w:rsid w:val="00481ACC"/>
    <w:pPr>
      <w:tabs>
        <w:tab w:val="center" w:pos="4419"/>
        <w:tab w:val="right" w:pos="8838"/>
      </w:tabs>
    </w:pPr>
  </w:style>
  <w:style w:type="character" w:customStyle="1" w:styleId="PiedepginaCar">
    <w:name w:val="Pie de página Car"/>
    <w:basedOn w:val="Fuentedeprrafopredeter"/>
    <w:link w:val="Piedepgina"/>
    <w:uiPriority w:val="99"/>
    <w:rsid w:val="00481ACC"/>
    <w:rPr>
      <w:sz w:val="24"/>
      <w:szCs w:val="22"/>
      <w:lang w:eastAsia="en-US"/>
    </w:rPr>
  </w:style>
  <w:style w:type="paragraph" w:styleId="Textodeglobo">
    <w:name w:val="Balloon Text"/>
    <w:basedOn w:val="Normal"/>
    <w:link w:val="TextodegloboCar"/>
    <w:uiPriority w:val="99"/>
    <w:semiHidden/>
    <w:unhideWhenUsed/>
    <w:rsid w:val="00DE4D6B"/>
    <w:rPr>
      <w:rFonts w:ascii="Tahoma" w:hAnsi="Tahoma" w:cs="Tahoma"/>
      <w:sz w:val="16"/>
      <w:szCs w:val="16"/>
    </w:rPr>
  </w:style>
  <w:style w:type="character" w:customStyle="1" w:styleId="TextodegloboCar">
    <w:name w:val="Texto de globo Car"/>
    <w:basedOn w:val="Fuentedeprrafopredeter"/>
    <w:link w:val="Textodeglobo"/>
    <w:uiPriority w:val="99"/>
    <w:semiHidden/>
    <w:rsid w:val="00DE4D6B"/>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321590114">
      <w:bodyDiv w:val="1"/>
      <w:marLeft w:val="0"/>
      <w:marRight w:val="0"/>
      <w:marTop w:val="0"/>
      <w:marBottom w:val="0"/>
      <w:divBdr>
        <w:top w:val="none" w:sz="0" w:space="0" w:color="auto"/>
        <w:left w:val="none" w:sz="0" w:space="0" w:color="auto"/>
        <w:bottom w:val="none" w:sz="0" w:space="0" w:color="auto"/>
        <w:right w:val="none" w:sz="0" w:space="0" w:color="auto"/>
      </w:divBdr>
    </w:div>
    <w:div w:id="927035527">
      <w:bodyDiv w:val="1"/>
      <w:marLeft w:val="0"/>
      <w:marRight w:val="0"/>
      <w:marTop w:val="0"/>
      <w:marBottom w:val="0"/>
      <w:divBdr>
        <w:top w:val="none" w:sz="0" w:space="0" w:color="auto"/>
        <w:left w:val="none" w:sz="0" w:space="0" w:color="auto"/>
        <w:bottom w:val="none" w:sz="0" w:space="0" w:color="auto"/>
        <w:right w:val="none" w:sz="0" w:space="0" w:color="auto"/>
      </w:divBdr>
      <w:divsChild>
        <w:div w:id="1636525108">
          <w:marLeft w:val="0"/>
          <w:marRight w:val="0"/>
          <w:marTop w:val="0"/>
          <w:marBottom w:val="0"/>
          <w:divBdr>
            <w:top w:val="none" w:sz="0" w:space="0" w:color="auto"/>
            <w:left w:val="none" w:sz="0" w:space="0" w:color="auto"/>
            <w:bottom w:val="none" w:sz="0" w:space="0" w:color="auto"/>
            <w:right w:val="none" w:sz="0" w:space="0" w:color="auto"/>
          </w:divBdr>
        </w:div>
      </w:divsChild>
    </w:div>
    <w:div w:id="1633825064">
      <w:bodyDiv w:val="1"/>
      <w:marLeft w:val="0"/>
      <w:marRight w:val="0"/>
      <w:marTop w:val="0"/>
      <w:marBottom w:val="0"/>
      <w:divBdr>
        <w:top w:val="none" w:sz="0" w:space="0" w:color="auto"/>
        <w:left w:val="none" w:sz="0" w:space="0" w:color="auto"/>
        <w:bottom w:val="none" w:sz="0" w:space="0" w:color="auto"/>
        <w:right w:val="none" w:sz="0" w:space="0" w:color="auto"/>
      </w:divBdr>
    </w:div>
    <w:div w:id="1695417414">
      <w:bodyDiv w:val="1"/>
      <w:marLeft w:val="0"/>
      <w:marRight w:val="0"/>
      <w:marTop w:val="0"/>
      <w:marBottom w:val="0"/>
      <w:divBdr>
        <w:top w:val="none" w:sz="0" w:space="0" w:color="auto"/>
        <w:left w:val="none" w:sz="0" w:space="0" w:color="auto"/>
        <w:bottom w:val="none" w:sz="0" w:space="0" w:color="auto"/>
        <w:right w:val="none" w:sz="0" w:space="0" w:color="auto"/>
      </w:divBdr>
    </w:div>
    <w:div w:id="1983919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BB10F-E5C9-4B9D-85B3-EAE49DF14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649</Words>
  <Characters>3574</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CASA</Company>
  <LinksUpToDate>false</LinksUpToDate>
  <CharactersWithSpaces>4215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J.J.JHON</dc:creator>
  <cp:lastModifiedBy>Jhon Jairo Trejos</cp:lastModifiedBy>
  <cp:revision>8</cp:revision>
  <cp:lastPrinted>2007-09-03T10:23:00Z</cp:lastPrinted>
  <dcterms:created xsi:type="dcterms:W3CDTF">2012-07-03T10:09:00Z</dcterms:created>
  <dcterms:modified xsi:type="dcterms:W3CDTF">2013-12-03T10:57:00Z</dcterms:modified>
</cp:coreProperties>
</file>